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47" w:rsidRPr="00C356D1" w:rsidRDefault="00C92C47" w:rsidP="00C92C47">
      <w:pPr>
        <w:spacing w:line="360" w:lineRule="auto"/>
        <w:jc w:val="center"/>
        <w:outlineLvl w:val="1"/>
        <w:rPr>
          <w:b/>
        </w:rPr>
      </w:pPr>
      <w:r w:rsidRPr="00C356D1">
        <w:rPr>
          <w:b/>
        </w:rPr>
        <w:t>Tổng quan về thiết bị truyền dẫn của đài truyền dẫn quố</w:t>
      </w:r>
      <w:r>
        <w:rPr>
          <w:b/>
        </w:rPr>
        <w:t>c t</w:t>
      </w:r>
      <w:r w:rsidRPr="00C356D1">
        <w:rPr>
          <w:b/>
        </w:rPr>
        <w:t>ế ITMC3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noProof/>
          <w:lang w:val="en-NZ" w:eastAsia="en-NZ"/>
        </w:rPr>
        <w:drawing>
          <wp:inline distT="0" distB="0" distL="0" distR="0">
            <wp:extent cx="5193030" cy="3648710"/>
            <wp:effectExtent l="0" t="0" r="7620" b="8890"/>
            <wp:docPr id="2" name="Picture 2" descr="hinh 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nh mo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47" w:rsidRPr="00A746BB" w:rsidRDefault="00C92C47" w:rsidP="00C92C47">
      <w:pPr>
        <w:autoSpaceDE w:val="0"/>
        <w:autoSpaceDN w:val="0"/>
        <w:adjustRightInd w:val="0"/>
        <w:spacing w:line="360" w:lineRule="auto"/>
        <w:ind w:left="360"/>
        <w:jc w:val="center"/>
        <w:outlineLvl w:val="5"/>
        <w:rPr>
          <w:i/>
        </w:rPr>
      </w:pPr>
      <w:bookmarkStart w:id="0" w:name="_Toc322510054"/>
      <w:r w:rsidRPr="00A746BB">
        <w:rPr>
          <w:i/>
        </w:rPr>
        <w:t>Hình 1</w:t>
      </w:r>
      <w:r>
        <w:rPr>
          <w:i/>
        </w:rPr>
        <w:t xml:space="preserve">. </w:t>
      </w:r>
      <w:r w:rsidRPr="00A746BB">
        <w:rPr>
          <w:i/>
        </w:rPr>
        <w:t>Phân nhóm các thiết bị tại ITMC3</w:t>
      </w:r>
      <w:bookmarkEnd w:id="0"/>
    </w:p>
    <w:p w:rsidR="00C92C47" w:rsidRPr="00152ABB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i/>
        </w:rPr>
      </w:pPr>
      <w:r>
        <w:rPr>
          <w:bCs/>
          <w:i/>
        </w:rPr>
        <w:t>Nhóm thiết bị truyền dẫn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vi-VN"/>
        </w:rPr>
      </w:pPr>
      <w:r w:rsidRPr="00892BF4">
        <w:rPr>
          <w:color w:val="000000"/>
        </w:rPr>
        <w:t>Nhóm thiết bị truyền dẫn thực hiện chức năng truyền tải lưu lượng giữa ITMC và các đơn vị liên quan nh</w:t>
      </w:r>
      <w:r w:rsidRPr="00892BF4">
        <w:rPr>
          <w:color w:val="000000"/>
          <w:lang w:val="vi-VN"/>
        </w:rPr>
        <w:t xml:space="preserve">ư SMW3, VTN3, VDC3… </w:t>
      </w:r>
    </w:p>
    <w:p w:rsidR="00C92C47" w:rsidRPr="006E2F60" w:rsidRDefault="00C92C47" w:rsidP="00C92C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</w:rPr>
        <w:tab/>
      </w:r>
      <w:r w:rsidRPr="006E2F60">
        <w:rPr>
          <w:color w:val="000000"/>
          <w:lang w:val="it-IT"/>
        </w:rPr>
        <w:t xml:space="preserve">Thiết bị: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  <w:lang w:val="it-IT"/>
        </w:rPr>
      </w:pPr>
      <w:r w:rsidRPr="006E2F60">
        <w:rPr>
          <w:color w:val="000000"/>
          <w:lang w:val="it-IT"/>
        </w:rPr>
        <w:t>- SMA4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- </w:t>
      </w:r>
      <w:r w:rsidRPr="006E2F60">
        <w:rPr>
          <w:color w:val="000000"/>
          <w:lang w:val="it-IT"/>
        </w:rPr>
        <w:t>Alcatel 1670M</w:t>
      </w:r>
    </w:p>
    <w:p w:rsidR="00C92C47" w:rsidRPr="00152ABB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i/>
          <w:lang w:val="it-IT"/>
        </w:rPr>
      </w:pPr>
      <w:r w:rsidRPr="00152ABB">
        <w:rPr>
          <w:bCs/>
          <w:i/>
          <w:lang w:val="it-IT"/>
        </w:rPr>
        <w:t xml:space="preserve"> Nhóm thiết bị kết nối chéo</w:t>
      </w:r>
    </w:p>
    <w:p w:rsidR="00C92C47" w:rsidRPr="002B2947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it-IT"/>
        </w:rPr>
      </w:pPr>
      <w:r w:rsidRPr="002B2947">
        <w:rPr>
          <w:color w:val="000000"/>
          <w:lang w:val="it-IT"/>
        </w:rPr>
        <w:t xml:space="preserve">Nhóm thiết bị kết nối chéo bao gồm một thiết bị Siemens SXA 4/3/1. </w:t>
      </w:r>
    </w:p>
    <w:p w:rsidR="00C92C47" w:rsidRPr="002B2947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it-IT"/>
        </w:rPr>
      </w:pPr>
      <w:r w:rsidRPr="002B2947">
        <w:rPr>
          <w:color w:val="000000"/>
          <w:lang w:val="it-IT"/>
        </w:rPr>
        <w:t xml:space="preserve">Thiết bị kết nối chéo SXA thực hiện chức năng kết nối chéo lưu lượng của các lưu lượng truyền dẫn quốc tế và trong nước. </w:t>
      </w:r>
    </w:p>
    <w:p w:rsidR="00C92C47" w:rsidRPr="002B2947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it-IT"/>
        </w:rPr>
      </w:pPr>
      <w:r w:rsidRPr="002B2947">
        <w:rPr>
          <w:color w:val="000000"/>
          <w:lang w:val="it-IT"/>
        </w:rPr>
        <w:t>Thiết bị SXA được xem như trái tim của phần truyền dẫn tại IT</w:t>
      </w:r>
      <w:r>
        <w:rPr>
          <w:color w:val="000000"/>
          <w:lang w:val="it-IT"/>
        </w:rPr>
        <w:t>M</w:t>
      </w:r>
      <w:r w:rsidRPr="002B2947">
        <w:rPr>
          <w:color w:val="000000"/>
          <w:lang w:val="it-IT"/>
        </w:rPr>
        <w:t>C3. Tất cả các lưu lượng truyền dẫn quốc tế và trong nước của IT</w:t>
      </w:r>
      <w:r>
        <w:rPr>
          <w:color w:val="000000"/>
          <w:lang w:val="it-IT"/>
        </w:rPr>
        <w:t>M</w:t>
      </w:r>
      <w:r w:rsidRPr="002B2947">
        <w:rPr>
          <w:color w:val="000000"/>
          <w:lang w:val="it-IT"/>
        </w:rPr>
        <w:t xml:space="preserve">C3 đều được kết nối vào thiết bị này. </w:t>
      </w:r>
    </w:p>
    <w:p w:rsidR="00C92C47" w:rsidRPr="00183A92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vi-VN"/>
        </w:rPr>
      </w:pPr>
      <w:r w:rsidRPr="002B2947">
        <w:rPr>
          <w:color w:val="000000"/>
          <w:lang w:val="it-IT"/>
        </w:rPr>
        <w:t>Thiết bị</w:t>
      </w:r>
      <w:r w:rsidRPr="00183A92">
        <w:rPr>
          <w:color w:val="000000"/>
          <w:lang w:val="vi-VN"/>
        </w:rPr>
        <w:t xml:space="preserve"> SXA gồm có các giao diện kết nối sau: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- </w:t>
      </w:r>
      <w:r w:rsidRPr="006E2F60">
        <w:rPr>
          <w:color w:val="000000"/>
          <w:lang w:val="it-IT"/>
        </w:rPr>
        <w:t>STM-1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- </w:t>
      </w:r>
      <w:r w:rsidRPr="006E2F60">
        <w:rPr>
          <w:color w:val="000000"/>
          <w:lang w:val="it-IT"/>
        </w:rPr>
        <w:t>45Mbps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2BF4">
        <w:rPr>
          <w:color w:val="000000"/>
        </w:rPr>
        <w:t>E1</w:t>
      </w:r>
    </w:p>
    <w:p w:rsidR="00C92C47" w:rsidRPr="00152ABB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i/>
        </w:rPr>
      </w:pPr>
      <w:r>
        <w:rPr>
          <w:bCs/>
          <w:i/>
        </w:rPr>
        <w:t>Nhóm thiết bị đồng bộ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>Nhóm thiết bị đồng bộ gồm có thiết bị SSU 554</w:t>
      </w:r>
      <w:r>
        <w:rPr>
          <w:color w:val="000000"/>
        </w:rPr>
        <w:t>8B SASE của hãng Oscilloquartz.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 xml:space="preserve">Thiết bị SSU thực hiện chức năng cung cấp nguồn đồng bộ cho tất cả các thiết bị truyền dẫn và chuyển mạch tại khu vực 50 Nguyễn Du.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color w:val="000000"/>
        </w:rPr>
      </w:pPr>
      <w:r w:rsidRPr="00892BF4">
        <w:rPr>
          <w:color w:val="000000"/>
        </w:rPr>
        <w:t xml:space="preserve">Thiết bị SSU hỗ trợ 2 ngõ vào và 32 ngõ ra (16 ngõ ra 2MHz và 16 ngõ ra 2Mbps). </w:t>
      </w:r>
    </w:p>
    <w:p w:rsidR="00C92C47" w:rsidRPr="00152ABB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i/>
        </w:rPr>
      </w:pPr>
      <w:r w:rsidRPr="00152ABB">
        <w:rPr>
          <w:bCs/>
          <w:i/>
        </w:rPr>
        <w:t>Nhóm thiế</w:t>
      </w:r>
      <w:r>
        <w:rPr>
          <w:bCs/>
          <w:i/>
        </w:rPr>
        <w:t>t bị hỗ trợ thoại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 xml:space="preserve">Nhóm thiết bị hỗ trợ thoại bao gồm các thiết bị nhân kênh DCME và các thiết bị triệt tiếng dội Echo Canceller.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>Các thiết bị DCME: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 w:rsidRPr="006E2F60">
        <w:rPr>
          <w:color w:val="000000"/>
        </w:rPr>
        <w:t xml:space="preserve">- Thiết bị DCME thực hiên chức năng nhân kênh thoại.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6E2F60">
        <w:rPr>
          <w:color w:val="000000"/>
        </w:rPr>
        <w:t xml:space="preserve">Thiết bị DCME tại ITMC3 là loại DTX 240, có thể ghép tối đa 240 mạch thoại vào một bearer 2Mbps.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 w:rsidRPr="006E2F60">
        <w:rPr>
          <w:color w:val="000000"/>
        </w:rPr>
        <w:t xml:space="preserve">- ITMC3 đang quản lý một Cluster gồm 8 Terminal làm việc và 1 Terminal dự phòng nóng. </w:t>
      </w:r>
    </w:p>
    <w:p w:rsidR="00C92C47" w:rsidRPr="00152ABB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i/>
        </w:rPr>
      </w:pPr>
      <w:r w:rsidRPr="00152ABB">
        <w:rPr>
          <w:bCs/>
          <w:i/>
        </w:rPr>
        <w:t>Nhóm thiết bị kênh thuê riêng quốc tế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 xml:space="preserve">Nhóm thiết bị KTRQT bao gồm 01 thiết bị DN2 </w:t>
      </w:r>
      <w:r>
        <w:rPr>
          <w:color w:val="000000"/>
        </w:rPr>
        <w:t xml:space="preserve">và 02 thiết bị 3600 Mainstreet. </w:t>
      </w:r>
      <w:r w:rsidRPr="00892BF4">
        <w:rPr>
          <w:color w:val="000000"/>
        </w:rPr>
        <w:t>Thiết bị DN2 đã giải phóng ra khỏi mạng l</w:t>
      </w:r>
      <w:r w:rsidRPr="006E2F60">
        <w:rPr>
          <w:color w:val="000000"/>
        </w:rPr>
        <w:t xml:space="preserve">ưới.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6E2F60">
        <w:rPr>
          <w:color w:val="000000"/>
        </w:rPr>
        <w:t xml:space="preserve">Các thiết bị 3600 Mainstreet thực hiện cung cấp các dịch vụ KTRQT tốc độ nx64kbps: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6E2F60">
        <w:rPr>
          <w:color w:val="000000"/>
        </w:rPr>
        <w:t xml:space="preserve">Nút 3600 Mainstreet 1 cung cấp các dịch vụ IPLC tốc độ nx64kbps. </w:t>
      </w:r>
    </w:p>
    <w:p w:rsidR="00C92C47" w:rsidRPr="006E2F60" w:rsidRDefault="00C92C47" w:rsidP="00C92C47">
      <w:pPr>
        <w:autoSpaceDE w:val="0"/>
        <w:autoSpaceDN w:val="0"/>
        <w:adjustRightInd w:val="0"/>
        <w:spacing w:line="360" w:lineRule="auto"/>
        <w:ind w:left="513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6E2F60">
        <w:rPr>
          <w:color w:val="000000"/>
        </w:rPr>
        <w:t xml:space="preserve">Nút 3600 Mainstreet 2 cung cấp các dịch vụ i-VPN tốc độ nx64kbps.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noProof/>
          <w:color w:val="000000"/>
          <w:lang w:val="en-NZ" w:eastAsia="en-NZ"/>
        </w:rPr>
        <w:lastRenderedPageBreak/>
        <w:drawing>
          <wp:inline distT="0" distB="0" distL="0" distR="0">
            <wp:extent cx="2924175" cy="2242820"/>
            <wp:effectExtent l="0" t="0" r="9525" b="5080"/>
            <wp:docPr id="1" name="Picture 1" descr="thue kenh rien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ue kenh rieng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C47" w:rsidRPr="00A746BB" w:rsidRDefault="00C92C47" w:rsidP="00C92C47">
      <w:pPr>
        <w:autoSpaceDE w:val="0"/>
        <w:autoSpaceDN w:val="0"/>
        <w:adjustRightInd w:val="0"/>
        <w:spacing w:line="360" w:lineRule="auto"/>
        <w:jc w:val="center"/>
        <w:outlineLvl w:val="5"/>
        <w:rPr>
          <w:i/>
          <w:color w:val="000000"/>
        </w:rPr>
      </w:pPr>
      <w:bookmarkStart w:id="1" w:name="_Toc322510055"/>
      <w:r w:rsidRPr="00A746BB">
        <w:rPr>
          <w:i/>
          <w:color w:val="000000"/>
        </w:rPr>
        <w:t xml:space="preserve">Hình </w:t>
      </w:r>
      <w:r>
        <w:rPr>
          <w:i/>
          <w:color w:val="000000"/>
        </w:rPr>
        <w:t>2.</w:t>
      </w:r>
      <w:bookmarkStart w:id="2" w:name="_GoBack"/>
      <w:bookmarkEnd w:id="2"/>
      <w:r w:rsidRPr="00A746BB">
        <w:rPr>
          <w:i/>
          <w:color w:val="000000"/>
        </w:rPr>
        <w:t xml:space="preserve"> Thiết bị thuê kênh riêng</w:t>
      </w:r>
      <w:bookmarkEnd w:id="1"/>
    </w:p>
    <w:p w:rsidR="00C92C47" w:rsidRPr="0049201F" w:rsidRDefault="00C92C47" w:rsidP="00C92C47">
      <w:pPr>
        <w:numPr>
          <w:ilvl w:val="0"/>
          <w:numId w:val="1"/>
        </w:numPr>
        <w:tabs>
          <w:tab w:val="clear" w:pos="840"/>
        </w:tabs>
        <w:autoSpaceDE w:val="0"/>
        <w:autoSpaceDN w:val="0"/>
        <w:adjustRightInd w:val="0"/>
        <w:spacing w:line="360" w:lineRule="auto"/>
        <w:ind w:left="360"/>
        <w:jc w:val="both"/>
        <w:rPr>
          <w:bCs/>
          <w:i/>
        </w:rPr>
      </w:pPr>
      <w:r w:rsidRPr="00892BF4">
        <w:rPr>
          <w:b/>
          <w:bCs/>
        </w:rPr>
        <w:t xml:space="preserve"> </w:t>
      </w:r>
      <w:r>
        <w:rPr>
          <w:bCs/>
          <w:i/>
        </w:rPr>
        <w:t>Nhóm thiết bị quản lý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</w:rPr>
      </w:pPr>
      <w:r w:rsidRPr="00892BF4">
        <w:rPr>
          <w:color w:val="000000"/>
        </w:rPr>
        <w:t xml:space="preserve">Nhóm thiết bị quản lý thực hiện chức năng quản lý các thiết bị tại ITMC3.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BF4">
        <w:rPr>
          <w:color w:val="000000"/>
        </w:rPr>
        <w:t xml:space="preserve">Nhóm thiết bị quản lý bao gồm các hệ thống quản lý sau: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1107"/>
        <w:jc w:val="both"/>
        <w:rPr>
          <w:color w:val="000000"/>
        </w:rPr>
      </w:pPr>
      <w:r>
        <w:rPr>
          <w:color w:val="000000"/>
        </w:rPr>
        <w:t xml:space="preserve">- </w:t>
      </w:r>
      <w:r w:rsidRPr="00892BF4">
        <w:rPr>
          <w:color w:val="000000"/>
        </w:rPr>
        <w:t xml:space="preserve">Quản lý thiết bị kết nối chéo SXA: Tại ITMC3 có một thiết bị TMNS Client thuộc hệ thống quản lý các thiết bị SXA. </w:t>
      </w:r>
    </w:p>
    <w:p w:rsidR="00C92C47" w:rsidRPr="00892BF4" w:rsidRDefault="00C92C47" w:rsidP="00C92C47">
      <w:pPr>
        <w:autoSpaceDE w:val="0"/>
        <w:autoSpaceDN w:val="0"/>
        <w:adjustRightInd w:val="0"/>
        <w:spacing w:line="360" w:lineRule="auto"/>
        <w:ind w:firstLine="1080"/>
        <w:jc w:val="both"/>
        <w:rPr>
          <w:color w:val="000000"/>
        </w:rPr>
      </w:pPr>
      <w:r>
        <w:rPr>
          <w:color w:val="000000"/>
        </w:rPr>
        <w:t xml:space="preserve">- </w:t>
      </w:r>
      <w:r w:rsidRPr="00892BF4">
        <w:rPr>
          <w:color w:val="000000"/>
        </w:rPr>
        <w:t>Quản lý các thiết bị truyền dẫn: Hệ thố</w:t>
      </w:r>
      <w:r>
        <w:rPr>
          <w:color w:val="000000"/>
        </w:rPr>
        <w:t xml:space="preserve">ng EMOS được sử dụng để quản  lý </w:t>
      </w:r>
      <w:r w:rsidRPr="00892BF4">
        <w:rPr>
          <w:color w:val="000000"/>
        </w:rPr>
        <w:t xml:space="preserve">các node thiết bị của các tuyến truyền dẫn Ring 2.5Gbps, 622#1, 622#2 và 622#3. </w:t>
      </w:r>
    </w:p>
    <w:p w:rsidR="009E27C1" w:rsidRDefault="00C92C47" w:rsidP="00C92C47">
      <w:r w:rsidRPr="00892BF4">
        <w:rPr>
          <w:color w:val="000000"/>
        </w:rPr>
        <w:t>Quản lý thiết bị DTX: Tại ITMC3 có 1 thiết bị Local Terminal sử dụng để quản lý các Terminal của DTX cluster.</w:t>
      </w:r>
    </w:p>
    <w:sectPr w:rsidR="009E2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2109F"/>
    <w:multiLevelType w:val="hybridMultilevel"/>
    <w:tmpl w:val="413029D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47"/>
    <w:rsid w:val="009E27C1"/>
    <w:rsid w:val="00C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47"/>
    <w:pPr>
      <w:spacing w:after="0" w:line="240" w:lineRule="auto"/>
    </w:pPr>
    <w:rPr>
      <w:rFonts w:ascii="Times New Roman" w:eastAsia="MS Mincho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47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47"/>
    <w:pPr>
      <w:spacing w:after="0" w:line="240" w:lineRule="auto"/>
    </w:pPr>
    <w:rPr>
      <w:rFonts w:ascii="Times New Roman" w:eastAsia="MS Mincho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C47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Duyee</dc:creator>
  <cp:lastModifiedBy>Duyee</cp:lastModifiedBy>
  <cp:revision>1</cp:revision>
  <dcterms:created xsi:type="dcterms:W3CDTF">2018-01-10T02:42:00Z</dcterms:created>
  <dcterms:modified xsi:type="dcterms:W3CDTF">2018-01-10T02:44:00Z</dcterms:modified>
</cp:coreProperties>
</file>