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F9F6" w14:textId="40D4BE8F" w:rsidR="00D4227F" w:rsidRDefault="00D4227F" w:rsidP="00D4227F">
      <w:pPr>
        <w:pStyle w:val="Heading2"/>
        <w:numPr>
          <w:ilvl w:val="0"/>
          <w:numId w:val="0"/>
        </w:numPr>
        <w:spacing w:before="0" w:line="360" w:lineRule="auto"/>
        <w:ind w:firstLine="634"/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Thực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tiễn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xét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xử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tội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tàng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trữ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trái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phép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chất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ma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túy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tại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Tòa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án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nhân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dân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quận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Liên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Chiểu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,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thành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phố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Đà</w:t>
      </w:r>
      <w:proofErr w:type="spellEnd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D4227F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Nẵng</w:t>
      </w:r>
      <w:proofErr w:type="spellEnd"/>
    </w:p>
    <w:p w14:paraId="3C9F3A02" w14:textId="77777777" w:rsidR="00D4227F" w:rsidRPr="00D4227F" w:rsidRDefault="00D4227F" w:rsidP="00D4227F"/>
    <w:p w14:paraId="37C24216" w14:textId="78E9EA77" w:rsidR="00D4227F" w:rsidRPr="00C21B76" w:rsidRDefault="00D4227F" w:rsidP="00D4227F">
      <w:pPr>
        <w:pStyle w:val="Heading3"/>
        <w:numPr>
          <w:ilvl w:val="0"/>
          <w:numId w:val="0"/>
        </w:numPr>
        <w:spacing w:before="0" w:line="360" w:lineRule="auto"/>
        <w:ind w:firstLine="634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bookmarkStart w:id="0" w:name="_Toc35011749"/>
      <w:bookmarkStart w:id="1" w:name="_Toc66268584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.1.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kết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quả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đạt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xét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xử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túy</w:t>
      </w:r>
      <w:bookmarkEnd w:id="0"/>
      <w:bookmarkEnd w:id="1"/>
      <w:proofErr w:type="spellEnd"/>
    </w:p>
    <w:p w14:paraId="326E192A" w14:textId="77777777" w:rsidR="00D4227F" w:rsidRPr="00C21B76" w:rsidRDefault="00D4227F" w:rsidP="00D4227F">
      <w:pPr>
        <w:pStyle w:val="ListParagraph"/>
        <w:shd w:val="clear" w:color="auto" w:fill="FFFFFF"/>
        <w:spacing w:after="0" w:line="360" w:lineRule="auto"/>
        <w:ind w:left="0" w:firstLine="6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TTTTPCMT 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proofErr w:type="gram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đe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dọa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ổn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C82B90" w14:textId="77777777" w:rsidR="00D4227F" w:rsidRPr="00C21B76" w:rsidRDefault="00D4227F" w:rsidP="00D4227F">
      <w:pPr>
        <w:pStyle w:val="ListParagraph"/>
        <w:shd w:val="clear" w:color="auto" w:fill="FFFFFF"/>
        <w:spacing w:after="0" w:line="360" w:lineRule="auto"/>
        <w:ind w:left="0" w:firstLine="6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"https://congly.vn/xa-hoi/giao-duc" </w:instrText>
      </w:r>
      <w:r>
        <w:fldChar w:fldCharType="separate"/>
      </w:r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quét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TTTPCMT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TTTPCMT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E3BFBD8" w14:textId="77777777" w:rsidR="00D4227F" w:rsidRDefault="00D4227F" w:rsidP="00D4227F">
      <w:pPr>
        <w:pStyle w:val="ListParagraph"/>
        <w:tabs>
          <w:tab w:val="left" w:pos="737"/>
        </w:tabs>
        <w:spacing w:after="0" w:line="360" w:lineRule="auto"/>
        <w:ind w:left="0" w:firstLine="6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4227F" w:rsidSect="005900BB">
          <w:pgSz w:w="11907" w:h="16840" w:code="9"/>
          <w:pgMar w:top="1134" w:right="1134" w:bottom="1134" w:left="1985" w:header="720" w:footer="567" w:gutter="0"/>
          <w:cols w:space="720"/>
          <w:docGrid w:linePitch="360"/>
        </w:sectPr>
      </w:pPr>
    </w:p>
    <w:p w14:paraId="6E3960B6" w14:textId="77777777" w:rsidR="00D4227F" w:rsidRPr="0072381B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401EC1" w14:textId="77777777" w:rsidR="00D4227F" w:rsidRPr="00C21B76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2.2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Thống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kê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vụ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bị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cáo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từ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2017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đến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địa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quận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756"/>
        <w:gridCol w:w="1756"/>
        <w:gridCol w:w="1756"/>
      </w:tblGrid>
      <w:tr w:rsidR="00D4227F" w:rsidRPr="00C21B76" w14:paraId="3408BCF3" w14:textId="77777777" w:rsidTr="00C90770">
        <w:trPr>
          <w:jc w:val="center"/>
        </w:trPr>
        <w:tc>
          <w:tcPr>
            <w:tcW w:w="1755" w:type="dxa"/>
            <w:vAlign w:val="center"/>
          </w:tcPr>
          <w:p w14:paraId="78E896AB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55" w:type="dxa"/>
            <w:vAlign w:val="center"/>
          </w:tcPr>
          <w:p w14:paraId="0DE9260B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756" w:type="dxa"/>
            <w:vAlign w:val="center"/>
          </w:tcPr>
          <w:p w14:paraId="44653AA7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756" w:type="dxa"/>
            <w:vAlign w:val="center"/>
          </w:tcPr>
          <w:p w14:paraId="7A87FD85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tàng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trữ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756" w:type="dxa"/>
            <w:vAlign w:val="center"/>
          </w:tcPr>
          <w:p w14:paraId="4E15C3E3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tàng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trữ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túy</w:t>
            </w:r>
            <w:proofErr w:type="spellEnd"/>
          </w:p>
        </w:tc>
      </w:tr>
      <w:tr w:rsidR="00D4227F" w:rsidRPr="00C21B76" w14:paraId="37C6AC9E" w14:textId="77777777" w:rsidTr="00C90770">
        <w:trPr>
          <w:jc w:val="center"/>
        </w:trPr>
        <w:tc>
          <w:tcPr>
            <w:tcW w:w="1755" w:type="dxa"/>
            <w:vAlign w:val="center"/>
          </w:tcPr>
          <w:p w14:paraId="4E4575D1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755" w:type="dxa"/>
            <w:vAlign w:val="center"/>
          </w:tcPr>
          <w:p w14:paraId="59C5ADF6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6" w:type="dxa"/>
            <w:vAlign w:val="center"/>
          </w:tcPr>
          <w:p w14:paraId="0FAFAACF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56" w:type="dxa"/>
            <w:vAlign w:val="center"/>
          </w:tcPr>
          <w:p w14:paraId="61388503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14:paraId="5053BEAC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4227F" w:rsidRPr="00C21B76" w14:paraId="754AC379" w14:textId="77777777" w:rsidTr="00C90770">
        <w:trPr>
          <w:jc w:val="center"/>
        </w:trPr>
        <w:tc>
          <w:tcPr>
            <w:tcW w:w="1755" w:type="dxa"/>
            <w:vAlign w:val="center"/>
          </w:tcPr>
          <w:p w14:paraId="5BD904F6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755" w:type="dxa"/>
            <w:vAlign w:val="center"/>
          </w:tcPr>
          <w:p w14:paraId="2FA029DC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56" w:type="dxa"/>
            <w:vAlign w:val="center"/>
          </w:tcPr>
          <w:p w14:paraId="2E72A441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56" w:type="dxa"/>
            <w:vAlign w:val="center"/>
          </w:tcPr>
          <w:p w14:paraId="7F142874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14:paraId="4360D7FC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D4227F" w:rsidRPr="00C21B76" w14:paraId="3A9F3F83" w14:textId="77777777" w:rsidTr="00C90770">
        <w:trPr>
          <w:jc w:val="center"/>
        </w:trPr>
        <w:tc>
          <w:tcPr>
            <w:tcW w:w="1755" w:type="dxa"/>
            <w:vAlign w:val="center"/>
          </w:tcPr>
          <w:p w14:paraId="5039EC7F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5" w:type="dxa"/>
            <w:vAlign w:val="center"/>
          </w:tcPr>
          <w:p w14:paraId="5932A192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56" w:type="dxa"/>
            <w:vAlign w:val="center"/>
          </w:tcPr>
          <w:p w14:paraId="066D4B4A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56" w:type="dxa"/>
            <w:vAlign w:val="center"/>
          </w:tcPr>
          <w:p w14:paraId="29EE02EB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56" w:type="dxa"/>
            <w:vAlign w:val="center"/>
          </w:tcPr>
          <w:p w14:paraId="2AF2AB38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D4227F" w:rsidRPr="00C21B76" w14:paraId="5A6B14D2" w14:textId="77777777" w:rsidTr="00C90770">
        <w:trPr>
          <w:jc w:val="center"/>
        </w:trPr>
        <w:tc>
          <w:tcPr>
            <w:tcW w:w="1755" w:type="dxa"/>
            <w:vAlign w:val="center"/>
          </w:tcPr>
          <w:p w14:paraId="0A5458F6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755" w:type="dxa"/>
            <w:vAlign w:val="center"/>
          </w:tcPr>
          <w:p w14:paraId="60E59D12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56" w:type="dxa"/>
            <w:vAlign w:val="center"/>
          </w:tcPr>
          <w:p w14:paraId="63C7B539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56" w:type="dxa"/>
            <w:vAlign w:val="center"/>
          </w:tcPr>
          <w:p w14:paraId="7F8024F1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56" w:type="dxa"/>
            <w:vAlign w:val="center"/>
          </w:tcPr>
          <w:p w14:paraId="72163E90" w14:textId="77777777" w:rsidR="00D4227F" w:rsidRPr="00C21B76" w:rsidRDefault="00D4227F" w:rsidP="00C90770">
            <w:pPr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14:paraId="061742B3" w14:textId="6F10FD32" w:rsidR="00D4227F" w:rsidRDefault="00D4227F" w:rsidP="00D4227F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(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Nguồn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Tòa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nhân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dân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quân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thành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phố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Đà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)</w:t>
      </w:r>
    </w:p>
    <w:p w14:paraId="79CE51B5" w14:textId="77777777" w:rsidR="00D4227F" w:rsidRPr="00D4227F" w:rsidRDefault="00D4227F" w:rsidP="00D4227F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</w:p>
    <w:p w14:paraId="45667AA9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 </w:t>
      </w:r>
    </w:p>
    <w:p w14:paraId="077C70A0" w14:textId="77777777" w:rsidR="00D4227F" w:rsidRPr="000A4BCE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CE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8/2020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>.</w:t>
      </w:r>
    </w:p>
    <w:p w14:paraId="4BF96BB0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karaoke,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mát-xa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bar,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lastRenderedPageBreak/>
        <w:t>việc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C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4BCE">
        <w:rPr>
          <w:rFonts w:ascii="Times New Roman" w:hAnsi="Times New Roman" w:cs="Times New Roman"/>
          <w:sz w:val="28"/>
          <w:szCs w:val="28"/>
        </w:rPr>
        <w:t xml:space="preserve"> vi.</w:t>
      </w:r>
    </w:p>
    <w:p w14:paraId="3AA5164E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</w:t>
      </w:r>
      <w:r w:rsidRPr="00FD221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FD2214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FD2214">
        <w:rPr>
          <w:rFonts w:ascii="Times New Roman" w:hAnsi="Times New Roman" w:cs="Times New Roman"/>
          <w:sz w:val="28"/>
          <w:szCs w:val="28"/>
        </w:rPr>
        <w:t>.</w:t>
      </w:r>
    </w:p>
    <w:p w14:paraId="6A55803B" w14:textId="77777777" w:rsidR="00D4227F" w:rsidRPr="006F411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>:</w:t>
      </w:r>
    </w:p>
    <w:p w14:paraId="6D2545BA" w14:textId="35D9D991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tội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tàng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trữ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ma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túy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2017,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tỷ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lệ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tàng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trữ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chât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ma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túy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45,45%;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2018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62,5%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17,05%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2017)</w:t>
      </w:r>
      <w:r w:rsidRPr="006F411F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2019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64,51%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2,01%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2018)</w:t>
      </w:r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2020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41,37%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giảm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23,14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2019).</w:t>
      </w:r>
    </w:p>
    <w:p w14:paraId="49F0D8CC" w14:textId="52DE5118" w:rsidR="00D4227F" w:rsidRPr="006F411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tội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tàng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trữ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ma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túy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2017,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tỷ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lệ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can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tội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tàng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trữ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ma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túy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53,33%;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2018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56,25%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2,92%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2017)</w:t>
      </w:r>
      <w:r w:rsidRPr="006F411F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2019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58,33%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2,08%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2018)</w:t>
      </w:r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2020 </w:t>
      </w:r>
      <w:proofErr w:type="spellStart"/>
      <w:r w:rsidRPr="006F411F">
        <w:rPr>
          <w:rFonts w:ascii="Times New Roman" w:hAnsi="Times New Roman" w:cs="Times New Roman"/>
          <w:i/>
          <w:sz w:val="28"/>
          <w:szCs w:val="28"/>
        </w:rPr>
        <w:t>chiếm</w:t>
      </w:r>
      <w:proofErr w:type="spellEnd"/>
      <w:r w:rsidRPr="006F41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39,47%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18,86% so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2019).</w:t>
      </w:r>
    </w:p>
    <w:p w14:paraId="37B9D710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C2872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vữ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7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C2872">
        <w:rPr>
          <w:rFonts w:ascii="Times New Roman" w:hAnsi="Times New Roman" w:cs="Times New Roman"/>
          <w:sz w:val="28"/>
          <w:szCs w:val="28"/>
        </w:rPr>
        <w:t>.</w:t>
      </w:r>
    </w:p>
    <w:p w14:paraId="6F7C4931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093">
        <w:rPr>
          <w:rFonts w:ascii="Times New Roman" w:hAnsi="Times New Roman" w:cs="Times New Roman"/>
          <w:sz w:val="28"/>
          <w:szCs w:val="28"/>
        </w:rPr>
        <w:t>Dướ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mộ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TAND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A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A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A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A0093">
        <w:rPr>
          <w:rFonts w:ascii="Times New Roman" w:hAnsi="Times New Roman" w:cs="Times New Roman"/>
          <w:sz w:val="28"/>
          <w:szCs w:val="28"/>
        </w:rPr>
        <w:t>:</w:t>
      </w:r>
    </w:p>
    <w:p w14:paraId="0E10C87A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E7C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834E7C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834E7C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834E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4E7C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E7A48C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17/6/2020,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10/8/1987)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2.000.000đ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20/6/2020,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nilong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A0597D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199/GĐ-MT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26/6/2020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TP.Đà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methamphelanine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: 2,316 gram.</w:t>
      </w:r>
    </w:p>
    <w:p w14:paraId="6395E6F3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96/CT-VKS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01/10/2020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249 BLHS,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C9F09E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085EF" w14:textId="18A18FE7" w:rsidR="00D4227F" w:rsidRDefault="00D4227F" w:rsidP="00D42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A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chât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249 BLHS.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AF">
        <w:rPr>
          <w:rFonts w:ascii="Times New Roman" w:hAnsi="Times New Roman" w:cs="Times New Roman"/>
          <w:sz w:val="28"/>
          <w:szCs w:val="28"/>
        </w:rPr>
        <w:t xml:space="preserve">96/CT-VKS </w:t>
      </w:r>
      <w:proofErr w:type="spellStart"/>
      <w:r w:rsidRPr="000235A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235AF">
        <w:rPr>
          <w:rFonts w:ascii="Times New Roman" w:hAnsi="Times New Roman" w:cs="Times New Roman"/>
          <w:sz w:val="28"/>
          <w:szCs w:val="28"/>
        </w:rPr>
        <w:t xml:space="preserve"> 01/10/2020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VKS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BF05ED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29/2020/HSST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22/10/2020,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249 BLHS;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 BLHS.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20/6/2020.</w:t>
      </w:r>
    </w:p>
    <w:p w14:paraId="035348B7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19525F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2,316 gram Methamphetamine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F79E1B4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D4830B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Methamphetamine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BLHS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B40FDF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D18D70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249 BLHS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Methamphetamine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2,316 gram (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gram).</w:t>
      </w:r>
    </w:p>
    <w:p w14:paraId="102C0112" w14:textId="77777777" w:rsidR="00D4227F" w:rsidRDefault="00D4227F" w:rsidP="00D422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04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ra,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TTTPCMT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 w:rsidRPr="00026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49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31BAED" w14:textId="77777777" w:rsidR="00D4227F" w:rsidRPr="000D4D4C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>tụng</w:t>
      </w:r>
      <w:proofErr w:type="spellEnd"/>
      <w:r w:rsidRPr="000D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DCD018" w14:textId="77777777" w:rsidR="00D4227F" w:rsidRPr="00C21B76" w:rsidRDefault="00D4227F" w:rsidP="00D4227F">
      <w:pPr>
        <w:pStyle w:val="Heading3"/>
        <w:numPr>
          <w:ilvl w:val="0"/>
          <w:numId w:val="0"/>
        </w:numPr>
        <w:spacing w:before="0" w:line="360" w:lineRule="auto"/>
        <w:ind w:firstLine="634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bookmarkStart w:id="2" w:name="_Toc35011750"/>
      <w:bookmarkStart w:id="3" w:name="_Toc66268585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2.2.2.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Những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hạn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chê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́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việc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xét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xư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̉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vê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̀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tội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tàng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̃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trái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phép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chất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tuy</w:t>
      </w:r>
      <w:proofErr w:type="spellEnd"/>
      <w:r w:rsidRPr="00C21B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́</w:t>
      </w:r>
      <w:bookmarkEnd w:id="2"/>
      <w:bookmarkEnd w:id="3"/>
    </w:p>
    <w:p w14:paraId="2327F2D4" w14:textId="77777777" w:rsidR="00D4227F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BLHS 2015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luậ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BLHS 2015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chât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9B6BC8" w14:textId="77777777" w:rsidR="00D4227F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2BD69" w14:textId="77777777" w:rsidR="00D4227F" w:rsidRPr="00C21B76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A9323F" w14:textId="77777777" w:rsidR="00D4227F" w:rsidRPr="00C21B76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</w:p>
    <w:p w14:paraId="72F97134" w14:textId="77777777" w:rsidR="00D4227F" w:rsidRPr="00C21B76" w:rsidRDefault="00D4227F" w:rsidP="00D4227F">
      <w:pPr>
        <w:spacing w:after="0" w:line="360" w:lineRule="auto"/>
        <w:ind w:firstLine="6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cạnh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năng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tâm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nguồn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kinh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phí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phục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vụ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Hàng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bồi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dưỡng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nghiệp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vụ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chuyên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sâu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tệ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luật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Kiểm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bộ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Liên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ngành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an,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kiểm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Toà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Trung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ương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nhất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nữa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xử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sử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nghiện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678BB52" w14:textId="77777777" w:rsidR="00D4227F" w:rsidRPr="00C21B76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Thiết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nghĩ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đấu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tranh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TTTPCMT 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proofErr w:type="gram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trách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tiến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tố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tụng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an -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kiểm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sát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Tòa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phối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chặt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hiệu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nhiều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đặc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biệt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tâm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trách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quản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dục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dưỡng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rèn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luyện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bản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thân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mỗi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Khi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rõ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nguyên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tốt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đồng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bộ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giải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tin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chắc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rằng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ngừa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đấu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tranh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chặn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sẽ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nhiều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khả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chế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ngăn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chặn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mức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thấp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nhất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tệ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nạn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21B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túy</w:t>
      </w:r>
      <w:proofErr w:type="spellEnd"/>
    </w:p>
    <w:p w14:paraId="40B71420" w14:textId="77777777" w:rsidR="00D4227F" w:rsidRPr="00C21B76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4" w:name="_Toc35011751"/>
      <w:bookmarkStart w:id="5" w:name="_Toc66268586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2.2.3.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Nguyên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nhân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của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tồn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tại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va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̀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hạn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chế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gây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ra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vê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̀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tội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tàng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trư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̃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trái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phép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chất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tuy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́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tại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quận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Chiểu</w:t>
      </w:r>
      <w:bookmarkEnd w:id="4"/>
      <w:bookmarkEnd w:id="5"/>
      <w:proofErr w:type="spellEnd"/>
    </w:p>
    <w:p w14:paraId="4A8BF993" w14:textId="77777777" w:rsidR="00D4227F" w:rsidRPr="00C21B76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Chiểu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F25018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8F7A4CD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Thứ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nhất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nguyên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nhân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tác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nghiệp</w:t>
      </w:r>
      <w:proofErr w:type="spellEnd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3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vụ</w:t>
      </w:r>
      <w:proofErr w:type="spellEnd"/>
    </w:p>
    <w:p w14:paraId="5F7A1E84" w14:textId="77777777" w:rsidR="00D4227F" w:rsidRPr="00CE19A8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F1AA2F" w14:textId="77777777" w:rsidR="00D4227F" w:rsidRPr="00D73DF7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D73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DF7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</w:p>
    <w:p w14:paraId="541AAD0E" w14:textId="77777777" w:rsidR="00D4227F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khắn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2FD9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răn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hoài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F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12FD9">
        <w:rPr>
          <w:rFonts w:ascii="Times New Roman" w:hAnsi="Times New Roman" w:cs="Times New Roman"/>
          <w:sz w:val="28"/>
          <w:szCs w:val="28"/>
        </w:rPr>
        <w:t>.</w:t>
      </w:r>
    </w:p>
    <w:p w14:paraId="1E6DE627" w14:textId="77777777" w:rsidR="00D4227F" w:rsidRPr="001D073B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73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HTND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073B">
        <w:rPr>
          <w:rFonts w:ascii="Times New Roman" w:hAnsi="Times New Roman" w:cs="Times New Roman"/>
          <w:sz w:val="28"/>
          <w:szCs w:val="28"/>
        </w:rPr>
        <w:t>quan,tổ</w:t>
      </w:r>
      <w:proofErr w:type="spellEnd"/>
      <w:proofErr w:type="gram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chức,ban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khăn.Tuy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nhiên,ngành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HTND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HTND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xử.Bên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đó,chế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HTND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D073B">
        <w:rPr>
          <w:rFonts w:ascii="Times New Roman" w:hAnsi="Times New Roman" w:cs="Times New Roman"/>
          <w:sz w:val="28"/>
          <w:szCs w:val="28"/>
        </w:rPr>
        <w:t>.</w:t>
      </w:r>
    </w:p>
    <w:p w14:paraId="79232781" w14:textId="77777777" w:rsidR="00D4227F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</w:t>
      </w:r>
      <w:r w:rsidRPr="00CA59A9">
        <w:rPr>
          <w:rFonts w:ascii="Times New Roman" w:hAnsi="Times New Roman" w:cs="Times New Roman"/>
          <w:i/>
          <w:sz w:val="28"/>
          <w:szCs w:val="28"/>
        </w:rPr>
        <w:t>guyên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59A9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CA5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AF68B0" w14:textId="77777777" w:rsidR="00D4227F" w:rsidRPr="00CE19A8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9A8">
        <w:rPr>
          <w:rFonts w:ascii="Times New Roman" w:hAnsi="Times New Roman" w:cs="Times New Roman"/>
          <w:sz w:val="28"/>
          <w:szCs w:val="28"/>
        </w:rPr>
        <w:lastRenderedPageBreak/>
        <w:t>Việc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19A8">
        <w:rPr>
          <w:rFonts w:ascii="Times New Roman" w:hAnsi="Times New Roman" w:cs="Times New Roman"/>
          <w:sz w:val="28"/>
          <w:szCs w:val="28"/>
        </w:rPr>
        <w:t>môn,nghiệp</w:t>
      </w:r>
      <w:proofErr w:type="spellEnd"/>
      <w:proofErr w:type="gram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bộ,thẫm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>.</w:t>
      </w:r>
    </w:p>
    <w:p w14:paraId="68500645" w14:textId="77777777" w:rsidR="00D4227F" w:rsidRPr="00AD095C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19A8">
        <w:rPr>
          <w:rFonts w:ascii="Times New Roman" w:hAnsi="Times New Roman" w:cs="Times New Roman"/>
          <w:sz w:val="28"/>
          <w:szCs w:val="28"/>
        </w:rPr>
        <w:t>cực,tham</w:t>
      </w:r>
      <w:proofErr w:type="spellEnd"/>
      <w:proofErr w:type="gram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Thẫm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HTND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chung,những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trữ,vận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chuyển,mua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CE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0D7934" w14:textId="77777777" w:rsidR="00D4227F" w:rsidRPr="00CE19A8" w:rsidRDefault="00D4227F" w:rsidP="00D4227F">
      <w:pPr>
        <w:spacing w:after="0" w:line="360" w:lineRule="auto"/>
        <w:ind w:firstLine="63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095C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</w:t>
      </w:r>
      <w:r w:rsidRPr="00CE19A8">
        <w:rPr>
          <w:rFonts w:ascii="Times New Roman" w:hAnsi="Times New Roman" w:cs="Times New Roman"/>
          <w:i/>
          <w:sz w:val="28"/>
          <w:szCs w:val="28"/>
        </w:rPr>
        <w:t>guyên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CE1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9A8">
        <w:rPr>
          <w:rFonts w:ascii="Times New Roman" w:hAnsi="Times New Roman" w:cs="Times New Roman"/>
          <w:i/>
          <w:sz w:val="28"/>
          <w:szCs w:val="28"/>
        </w:rPr>
        <w:t>độ</w:t>
      </w:r>
      <w:r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</w:p>
    <w:p w14:paraId="5CEFAE8F" w14:textId="77777777" w:rsidR="00D4227F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Khi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Tòa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vướng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21B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888A6" w14:textId="77777777" w:rsidR="00D4227F" w:rsidRPr="00953AD9" w:rsidRDefault="00D4227F" w:rsidP="00D4227F">
      <w:pPr>
        <w:pStyle w:val="ListParagraph"/>
        <w:spacing w:after="0" w:line="360" w:lineRule="auto"/>
        <w:ind w:left="0"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Thậm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tốn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A47FD" w14:textId="77777777" w:rsidR="002717BF" w:rsidRDefault="002717BF"/>
    <w:sectPr w:rsidR="002717BF" w:rsidSect="00483A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20F1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7F"/>
    <w:rsid w:val="002717BF"/>
    <w:rsid w:val="00483A36"/>
    <w:rsid w:val="00D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267F37"/>
  <w15:chartTrackingRefBased/>
  <w15:docId w15:val="{1E176C58-D777-2445-8343-E8B8D65C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7F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27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7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2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27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2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2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2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2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2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2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2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227F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27F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27F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27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2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4227F"/>
    <w:pPr>
      <w:ind w:left="720"/>
      <w:contextualSpacing/>
    </w:pPr>
  </w:style>
  <w:style w:type="table" w:styleId="TableGrid">
    <w:name w:val="Table Grid"/>
    <w:basedOn w:val="TableNormal"/>
    <w:uiPriority w:val="59"/>
    <w:rsid w:val="00D4227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2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7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2083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2021-07-17T01:47:00Z</dcterms:created>
  <dcterms:modified xsi:type="dcterms:W3CDTF">2021-07-17T01:55:00Z</dcterms:modified>
</cp:coreProperties>
</file>