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8F94" w14:textId="77777777" w:rsidR="00EF124D" w:rsidRPr="00EF124D" w:rsidRDefault="00EF124D" w:rsidP="00EF124D">
      <w:pPr>
        <w:pStyle w:val="Heading3"/>
        <w:numPr>
          <w:ilvl w:val="0"/>
          <w:numId w:val="0"/>
        </w:numPr>
        <w:spacing w:line="360" w:lineRule="auto"/>
        <w:ind w:left="720"/>
        <w:jc w:val="center"/>
        <w:rPr>
          <w:rFonts w:cs="Times New Roman"/>
          <w:i w:val="0"/>
          <w:iCs/>
          <w:sz w:val="32"/>
          <w:szCs w:val="28"/>
          <w:lang w:val="vi-VN"/>
        </w:rPr>
      </w:pPr>
      <w:bookmarkStart w:id="0" w:name="_Toc33964390"/>
      <w:r w:rsidRPr="00EF124D">
        <w:rPr>
          <w:rFonts w:cs="Times New Roman"/>
          <w:i w:val="0"/>
          <w:iCs/>
          <w:sz w:val="32"/>
          <w:szCs w:val="28"/>
          <w:lang w:val="vi-VN"/>
        </w:rPr>
        <w:t>Khái niệm, đặc điểm của hợp đồng mua bán hàng hóa</w:t>
      </w:r>
      <w:bookmarkEnd w:id="0"/>
    </w:p>
    <w:p w14:paraId="3237125C" w14:textId="77777777" w:rsidR="00EF124D" w:rsidRPr="00657690" w:rsidRDefault="00EF124D" w:rsidP="00EF124D">
      <w:pPr>
        <w:pStyle w:val="ListParagraph"/>
        <w:spacing w:line="360" w:lineRule="auto"/>
        <w:ind w:left="0" w:firstLine="720"/>
        <w:jc w:val="both"/>
        <w:rPr>
          <w:rFonts w:cs="Times New Roman"/>
          <w:szCs w:val="28"/>
        </w:rPr>
      </w:pPr>
      <w:r w:rsidRPr="00657690">
        <w:rPr>
          <w:rFonts w:cs="Times New Roman"/>
          <w:szCs w:val="28"/>
        </w:rPr>
        <w:t>Theo khoản 8, điều 3 LTM 2005 quy định thì: “Mua bán hàng hóa là hoạt động thương mại, theo đó bên bán có nghĩa vụ giao hàng, chuyển quyền sở hữu hàng hóa cho bên mua và nhận thanh toán; bên mua có nghĩa vụ thanh toán cho bên bán, nhận hàng và quyền sở hữu hàng hóa theo thỏa thuận”. HĐMBHH có bản chất chung của hợp đồng, nó là sự thỏa thuận nhằm xác lập, thay đổi hoặc chấm dứt các quyền và nghĩa vụ trong quan hệ mua bán. LTM 2005 không đưa ra định nghĩa về HĐMBHH nhưng có thể xác định bản chất pháp lý trên cơ sở quy định của BLDS về hợp đồng mua bán tài sản. Theo điều 430 Bộ Luật dân sự 2015 quy định về hợp đồng mua bán tài sản, theo đó: “Hợp đồng mua bán tài sản là sự thõa thuận giữa các bên, theo đó bên bán chuyển quyền sở hữu tài sản cho bên mua và bên mua trả tiền cho bên bán”.</w:t>
      </w:r>
    </w:p>
    <w:p w14:paraId="05C814FD" w14:textId="4490E446" w:rsidR="00EF124D" w:rsidRPr="00657690" w:rsidRDefault="00EF124D" w:rsidP="00EF124D">
      <w:pPr>
        <w:pStyle w:val="ListParagraph"/>
        <w:spacing w:line="360" w:lineRule="auto"/>
        <w:ind w:left="0" w:firstLine="720"/>
        <w:jc w:val="both"/>
        <w:rPr>
          <w:rFonts w:cs="Times New Roman"/>
          <w:szCs w:val="28"/>
        </w:rPr>
      </w:pPr>
      <w:r w:rsidRPr="00657690">
        <w:rPr>
          <w:rFonts w:cs="Times New Roman"/>
          <w:szCs w:val="28"/>
        </w:rPr>
        <w:t>Có thể thấy, HĐMBHH trong thương mại là một dạng cụ thể của hợp đồng mua bán tài sản. Một hợp đồng mua bán</w:t>
      </w:r>
      <w:r>
        <w:rPr>
          <w:rFonts w:cs="Times New Roman"/>
          <w:szCs w:val="28"/>
        </w:rPr>
        <w:t xml:space="preserve"> hàng hóa</w:t>
      </w:r>
      <w:r w:rsidRPr="00657690">
        <w:rPr>
          <w:rFonts w:cs="Times New Roman"/>
          <w:szCs w:val="28"/>
        </w:rPr>
        <w:t xml:space="preserve"> có thể là thỏa thuận về việc mua bán hàng hóa sẽ có ở một thời điểm nào đó trong tương lai. Bất cứ khi nào, một người mua hàng hóa bằng tiền hoặc hình thức thanh toán khác và nhận quyền sở hữu hàng hóa thì khi đó hình thành nên quan hệ hợp đồng mua bán hàng</w:t>
      </w:r>
      <w:r>
        <w:rPr>
          <w:rFonts w:cs="Times New Roman"/>
          <w:szCs w:val="28"/>
        </w:rPr>
        <w:t>.</w:t>
      </w:r>
    </w:p>
    <w:p w14:paraId="67D9DEE9" w14:textId="77777777" w:rsidR="00EF124D" w:rsidRPr="00657690" w:rsidRDefault="00EF124D" w:rsidP="00EF124D">
      <w:pPr>
        <w:pStyle w:val="ListParagraph"/>
        <w:spacing w:line="360" w:lineRule="auto"/>
        <w:ind w:left="0" w:firstLine="720"/>
        <w:jc w:val="both"/>
        <w:rPr>
          <w:rFonts w:cs="Times New Roman"/>
          <w:i/>
          <w:iCs/>
          <w:szCs w:val="28"/>
        </w:rPr>
      </w:pPr>
      <w:r w:rsidRPr="00657690">
        <w:rPr>
          <w:rFonts w:cs="Times New Roman"/>
          <w:szCs w:val="28"/>
        </w:rPr>
        <w:t xml:space="preserve">Từ những phân tích trên, có thể đưa ra khái niệm hợp đồng mua bán hàng hóa như sau: </w:t>
      </w:r>
      <w:r w:rsidRPr="00657690">
        <w:rPr>
          <w:rFonts w:cs="Times New Roman"/>
          <w:i/>
          <w:iCs/>
          <w:szCs w:val="28"/>
        </w:rPr>
        <w:t>HĐMBHH là sự thỏa thuận giữa các bên, được xác lập (hay ký kết) giữa bên mua và bên bán, theo đó bên bán có nghĩa vụ giao hàng cho bên mua và nhận tiền thanh toán, còn bên mua có nghĩa vụ nhận hàng và thanh toán tiền hàng cho bên bán.</w:t>
      </w:r>
    </w:p>
    <w:p w14:paraId="2C4988E8" w14:textId="77777777" w:rsidR="00EF124D" w:rsidRDefault="00EF124D" w:rsidP="00EF124D">
      <w:pPr>
        <w:pStyle w:val="ListParagraph"/>
        <w:spacing w:line="360" w:lineRule="auto"/>
        <w:ind w:left="0" w:firstLine="709"/>
        <w:jc w:val="both"/>
        <w:rPr>
          <w:rFonts w:cs="Times New Roman"/>
          <w:szCs w:val="28"/>
        </w:rPr>
      </w:pPr>
      <w:r w:rsidRPr="00657690">
        <w:rPr>
          <w:rFonts w:cs="Times New Roman"/>
          <w:szCs w:val="28"/>
        </w:rPr>
        <w:t>HĐMBHH là một dạng cụ thể của hợp đồng mua bán tài sản, nên nó những đặc điểm chung của hợp đồng mua bán tài sản:</w:t>
      </w:r>
    </w:p>
    <w:p w14:paraId="1C15F437" w14:textId="77777777" w:rsidR="00EF124D" w:rsidRDefault="00EF124D" w:rsidP="00EF124D">
      <w:pPr>
        <w:pStyle w:val="ListParagraph"/>
        <w:spacing w:line="360" w:lineRule="auto"/>
        <w:ind w:left="0" w:firstLine="709"/>
        <w:jc w:val="both"/>
        <w:rPr>
          <w:rFonts w:cs="Times New Roman"/>
          <w:szCs w:val="28"/>
        </w:rPr>
      </w:pPr>
      <w:r w:rsidRPr="00905BA5">
        <w:rPr>
          <w:rFonts w:cs="Times New Roman"/>
          <w:szCs w:val="28"/>
        </w:rPr>
        <w:t xml:space="preserve">Là hợp đồng ưng thuận: HĐMBHH được coi là giao kết tại thời điểm các bên thỏa thuận xong các điều khoản cơ bản, thời điểm có hiệu lực của hợp đồng không </w:t>
      </w:r>
      <w:r w:rsidRPr="00905BA5">
        <w:rPr>
          <w:rFonts w:cs="Times New Roman"/>
          <w:szCs w:val="28"/>
        </w:rPr>
        <w:lastRenderedPageBreak/>
        <w:t>phụ thuộc vào thời điểm bàn giao hàng hóa, việc bàn giao hàng hóa chỉ được coi là hành động của bên bán nhằm thực hiện nghĩa vụ của hợp đồng mua bán đã có hiệu lực.</w:t>
      </w:r>
    </w:p>
    <w:p w14:paraId="1146A3D8" w14:textId="77777777" w:rsidR="00EF124D" w:rsidRDefault="00EF124D" w:rsidP="00EF124D">
      <w:pPr>
        <w:pStyle w:val="ListParagraph"/>
        <w:spacing w:line="360" w:lineRule="auto"/>
        <w:ind w:left="0" w:firstLine="709"/>
        <w:jc w:val="both"/>
        <w:rPr>
          <w:rFonts w:cs="Times New Roman"/>
          <w:szCs w:val="28"/>
        </w:rPr>
      </w:pPr>
      <w:r w:rsidRPr="00905BA5">
        <w:rPr>
          <w:rFonts w:cs="Times New Roman"/>
          <w:szCs w:val="28"/>
        </w:rPr>
        <w:t>Có tình đền bù: bên bán khi thực hiện nghĩa vụ giao hàng hóa cho bên mua thì sẽ nhận từ bên mua một lợi ích tương đương với giá trị hàng hóa theo thỏa thuận dưới hạng khoản tiền thanh toán.</w:t>
      </w:r>
    </w:p>
    <w:p w14:paraId="5E086258" w14:textId="77777777" w:rsidR="00EF124D" w:rsidRPr="00905BA5" w:rsidRDefault="00EF124D" w:rsidP="00EF124D">
      <w:pPr>
        <w:pStyle w:val="ListParagraph"/>
        <w:spacing w:line="360" w:lineRule="auto"/>
        <w:ind w:left="0" w:firstLine="709"/>
        <w:jc w:val="both"/>
        <w:rPr>
          <w:rFonts w:cs="Times New Roman"/>
          <w:szCs w:val="28"/>
        </w:rPr>
      </w:pPr>
      <w:r w:rsidRPr="00905BA5">
        <w:rPr>
          <w:rFonts w:cs="Times New Roman"/>
          <w:szCs w:val="28"/>
        </w:rPr>
        <w:t>Là hợp đồng song vụ: mỗi bên trong hợp đồng mua bán hàng hóa đều bị ràng buộc bởi nghĩa vụ đối với bên kia, đồng thời cũng là bên có quyền đòi hỏi bên kia thực hiện nghĩa vụ đối với mình. Trong hợp đồng mua bán hàng hóa tồn tại hai nghĩa vụ chính mang tính chất qua lại và liên quan mật thiết với nhau: nghĩa vụ của bên bán phải giao hàng cho bên mua và nghĩa vụ của bên mua phải thanh toán cho bên bán.</w:t>
      </w:r>
    </w:p>
    <w:p w14:paraId="02B1B1C0" w14:textId="77777777" w:rsidR="00EF124D" w:rsidRDefault="00EF124D" w:rsidP="00EF124D">
      <w:pPr>
        <w:pStyle w:val="ListParagraph"/>
        <w:spacing w:line="360" w:lineRule="auto"/>
        <w:ind w:left="0" w:firstLine="720"/>
        <w:jc w:val="both"/>
        <w:rPr>
          <w:rFonts w:cs="Times New Roman"/>
          <w:szCs w:val="28"/>
        </w:rPr>
      </w:pPr>
      <w:r w:rsidRPr="00657690">
        <w:rPr>
          <w:rFonts w:cs="Times New Roman"/>
          <w:szCs w:val="28"/>
        </w:rPr>
        <w:t>Với tư cách là hình thức pháp lí của quan hệ mua bán hàng hóa, HĐMBHH có những đặc điểm riêng nhất định, xuất phát từ bản chất thương mại của hành vi mua bán hàng hóa:</w:t>
      </w:r>
    </w:p>
    <w:p w14:paraId="75FCB5D0" w14:textId="77777777" w:rsidR="00EF124D" w:rsidRDefault="00EF124D" w:rsidP="00EF124D">
      <w:pPr>
        <w:pStyle w:val="ListParagraph"/>
        <w:spacing w:line="360" w:lineRule="auto"/>
        <w:ind w:left="0" w:firstLine="720"/>
        <w:jc w:val="both"/>
        <w:rPr>
          <w:rFonts w:cs="Times New Roman"/>
          <w:szCs w:val="28"/>
        </w:rPr>
      </w:pPr>
      <w:r w:rsidRPr="00905BA5">
        <w:rPr>
          <w:rFonts w:cs="Times New Roman"/>
          <w:i/>
          <w:szCs w:val="28"/>
        </w:rPr>
        <w:t>Thứ nhất,</w:t>
      </w:r>
      <w:r w:rsidRPr="00905BA5">
        <w:rPr>
          <w:rFonts w:cs="Times New Roman"/>
          <w:szCs w:val="28"/>
        </w:rPr>
        <w:t xml:space="preserve"> về chủ thể: HĐMBHH được thiết lập chủ yếu giữa các chủ thể chủ yếu là thương nhân. Thương nhân bao gồm tổ chức kinh tế được thành lập hợp pháp, cá nhân hoạt động thương mại một cách độc lập, thường xuyên và có đăng ký kinh doanh. Trong một số trường hợp, không nhất thiết cả hai bên chủ thể của hợp đồng mua bán hàng hóa là thương nhân, có thể là tổ chức, cá nhân.</w:t>
      </w:r>
    </w:p>
    <w:p w14:paraId="7AD7ED10" w14:textId="77777777" w:rsidR="00EF124D" w:rsidRPr="00905BA5" w:rsidRDefault="00EF124D" w:rsidP="00EF124D">
      <w:pPr>
        <w:pStyle w:val="ListParagraph"/>
        <w:spacing w:line="360" w:lineRule="auto"/>
        <w:ind w:left="0" w:firstLine="720"/>
        <w:jc w:val="both"/>
        <w:rPr>
          <w:rFonts w:cs="Times New Roman"/>
          <w:szCs w:val="28"/>
        </w:rPr>
      </w:pPr>
      <w:r w:rsidRPr="00905BA5">
        <w:rPr>
          <w:rFonts w:cs="Times New Roman"/>
          <w:i/>
          <w:szCs w:val="28"/>
        </w:rPr>
        <w:t>Thứ hai</w:t>
      </w:r>
      <w:r w:rsidRPr="00905BA5">
        <w:rPr>
          <w:rFonts w:cs="Times New Roman"/>
          <w:szCs w:val="28"/>
        </w:rPr>
        <w:t>, về hình thức: Điều 24 LTM 2005 quy định: Hình thức hợp đồng mua bán hàng hóa:</w:t>
      </w:r>
    </w:p>
    <w:p w14:paraId="48AE835C" w14:textId="77777777" w:rsidR="00EF124D" w:rsidRPr="00657690" w:rsidRDefault="00EF124D" w:rsidP="00EF124D">
      <w:pPr>
        <w:pStyle w:val="ListParagraph"/>
        <w:numPr>
          <w:ilvl w:val="0"/>
          <w:numId w:val="2"/>
        </w:numPr>
        <w:spacing w:line="360" w:lineRule="auto"/>
        <w:ind w:left="0" w:firstLine="709"/>
        <w:jc w:val="both"/>
        <w:rPr>
          <w:rFonts w:cs="Times New Roman"/>
          <w:szCs w:val="28"/>
        </w:rPr>
      </w:pPr>
      <w:r w:rsidRPr="00657690">
        <w:rPr>
          <w:rFonts w:cs="Times New Roman"/>
          <w:szCs w:val="28"/>
        </w:rPr>
        <w:t>Hợp đồng mua bán hàng hóa được thể hiện bằng lời nói, văn bản hoặc được xác lập bằng hành vi cụ thể.</w:t>
      </w:r>
    </w:p>
    <w:p w14:paraId="69F246B2" w14:textId="77777777" w:rsidR="00EF124D" w:rsidRPr="00657690" w:rsidRDefault="00EF124D" w:rsidP="00EF124D">
      <w:pPr>
        <w:pStyle w:val="ListParagraph"/>
        <w:numPr>
          <w:ilvl w:val="0"/>
          <w:numId w:val="2"/>
        </w:numPr>
        <w:spacing w:line="360" w:lineRule="auto"/>
        <w:ind w:left="0" w:firstLine="709"/>
        <w:jc w:val="both"/>
        <w:rPr>
          <w:rFonts w:cs="Times New Roman"/>
          <w:szCs w:val="28"/>
        </w:rPr>
      </w:pPr>
      <w:r w:rsidRPr="00657690">
        <w:rPr>
          <w:rFonts w:cs="Times New Roman"/>
          <w:szCs w:val="28"/>
        </w:rPr>
        <w:t>Đối với các loại hợp đồng mua bán hàng hóa mà pháp luật quy định phải được lập thành văn bản thì phải tuân theo các quy định đó.</w:t>
      </w:r>
    </w:p>
    <w:p w14:paraId="0E8F188C" w14:textId="77777777" w:rsidR="00EF124D" w:rsidRDefault="00EF124D" w:rsidP="00EF124D">
      <w:pPr>
        <w:pStyle w:val="ListParagraph"/>
        <w:spacing w:line="360" w:lineRule="auto"/>
        <w:ind w:left="0" w:firstLine="709"/>
        <w:jc w:val="both"/>
        <w:rPr>
          <w:rFonts w:cs="Times New Roman"/>
          <w:szCs w:val="28"/>
        </w:rPr>
      </w:pPr>
      <w:r w:rsidRPr="00657690">
        <w:rPr>
          <w:rFonts w:cs="Times New Roman"/>
          <w:szCs w:val="28"/>
        </w:rPr>
        <w:lastRenderedPageBreak/>
        <w:t>Như vậy, HĐMBHH có thể được thể hiện dưới hình thức lời nói, bằng văn bản hoặc hành vi cụ thể của các bên giao kết hợp. Trong một số trường hợp nhất định, pháp luật bắt buộc các bên phải giao kết hợp đồng dưới hình thức văn bản.</w:t>
      </w:r>
    </w:p>
    <w:p w14:paraId="22AD6C55" w14:textId="77777777" w:rsidR="00EF124D" w:rsidRDefault="00EF124D" w:rsidP="00EF124D">
      <w:pPr>
        <w:pStyle w:val="ListParagraph"/>
        <w:spacing w:line="360" w:lineRule="auto"/>
        <w:ind w:left="0" w:firstLine="709"/>
        <w:jc w:val="both"/>
        <w:rPr>
          <w:rFonts w:cs="Times New Roman"/>
          <w:szCs w:val="28"/>
        </w:rPr>
      </w:pPr>
      <w:r w:rsidRPr="00905BA5">
        <w:rPr>
          <w:rFonts w:cs="Times New Roman"/>
          <w:i/>
          <w:szCs w:val="28"/>
        </w:rPr>
        <w:t>Thứ ba,</w:t>
      </w:r>
      <w:r w:rsidRPr="00905BA5">
        <w:rPr>
          <w:rFonts w:cs="Times New Roman"/>
          <w:szCs w:val="28"/>
        </w:rPr>
        <w:t xml:space="preserve"> về đối đượng: HĐMBHH có đối tượng là hàng hóa. Hàng hóa bao gồm tất cả các loại động sản, kể cả động sản hình thành trong tương lại và những vật gắn liền với đất đai.</w:t>
      </w:r>
    </w:p>
    <w:p w14:paraId="7221B891" w14:textId="77777777" w:rsidR="00EF124D" w:rsidRDefault="00EF124D" w:rsidP="00EF124D">
      <w:pPr>
        <w:pStyle w:val="ListParagraph"/>
        <w:spacing w:line="360" w:lineRule="auto"/>
        <w:ind w:left="0" w:firstLine="709"/>
        <w:jc w:val="both"/>
        <w:rPr>
          <w:rFonts w:cs="Times New Roman"/>
          <w:szCs w:val="28"/>
        </w:rPr>
      </w:pPr>
      <w:r w:rsidRPr="00905BA5">
        <w:rPr>
          <w:rFonts w:cs="Times New Roman"/>
          <w:i/>
          <w:szCs w:val="28"/>
        </w:rPr>
        <w:t>Thứ tư,</w:t>
      </w:r>
      <w:r w:rsidRPr="00905BA5">
        <w:rPr>
          <w:rFonts w:cs="Times New Roman"/>
          <w:szCs w:val="28"/>
        </w:rPr>
        <w:t xml:space="preserve"> về nội dụng: HĐMBHH thể hiện quyền và nghĩa vụ của các bên trong quan hệ mua bán, trong đó bên bán có nghĩa vụ giao hàng, chuyển quyền sở hữu hàng hóa cho bên mua và nhận tiền, còn bên mua có nghĩa vụ nhạn hàng và thanh toán tiền cho bên bán.</w:t>
      </w:r>
    </w:p>
    <w:p w14:paraId="12B27BA7" w14:textId="77777777" w:rsidR="00EF124D" w:rsidRPr="00905BA5" w:rsidRDefault="00EF124D" w:rsidP="00EF124D">
      <w:pPr>
        <w:pStyle w:val="ListParagraph"/>
        <w:spacing w:line="360" w:lineRule="auto"/>
        <w:ind w:left="0" w:firstLine="709"/>
        <w:jc w:val="both"/>
        <w:rPr>
          <w:rFonts w:cs="Times New Roman"/>
          <w:szCs w:val="28"/>
        </w:rPr>
      </w:pPr>
      <w:r w:rsidRPr="00905BA5">
        <w:rPr>
          <w:rFonts w:cs="Times New Roman"/>
          <w:i/>
          <w:szCs w:val="28"/>
        </w:rPr>
        <w:t>Thứ năm,</w:t>
      </w:r>
      <w:r w:rsidRPr="00905BA5">
        <w:rPr>
          <w:rFonts w:cs="Times New Roman"/>
          <w:szCs w:val="28"/>
        </w:rPr>
        <w:t xml:space="preserve"> mục đích của HĐMBHH là lợi nhuận.</w:t>
      </w:r>
    </w:p>
    <w:p w14:paraId="45D4BCBC" w14:textId="77777777" w:rsidR="00EF124D" w:rsidRDefault="00EF124D"/>
    <w:sectPr w:rsidR="00EF12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33B"/>
    <w:multiLevelType w:val="hybridMultilevel"/>
    <w:tmpl w:val="67A48F5A"/>
    <w:lvl w:ilvl="0" w:tplc="20024B5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63627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DDE0143"/>
    <w:multiLevelType w:val="multilevel"/>
    <w:tmpl w:val="84FA02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8A93658"/>
    <w:multiLevelType w:val="hybridMultilevel"/>
    <w:tmpl w:val="382EB62C"/>
    <w:lvl w:ilvl="0" w:tplc="141CB8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4D"/>
    <w:rsid w:val="00EF124D"/>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FE4B63"/>
  <w15:chartTrackingRefBased/>
  <w15:docId w15:val="{58ADE97E-100C-9D42-B9CB-9A0F791C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24D"/>
    <w:pPr>
      <w:keepNext/>
      <w:keepLines/>
      <w:numPr>
        <w:numId w:val="4"/>
      </w:numPr>
      <w:spacing w:before="240"/>
      <w:outlineLvl w:val="0"/>
    </w:pPr>
    <w:rPr>
      <w:rFonts w:ascii="Times New Roman" w:eastAsiaTheme="majorEastAsia" w:hAnsi="Times New Roman" w:cstheme="majorBidi"/>
      <w:b/>
      <w:color w:val="000000" w:themeColor="text1"/>
      <w:sz w:val="28"/>
      <w:szCs w:val="32"/>
      <w:lang w:val="en-US" w:eastAsia="en-US"/>
    </w:rPr>
  </w:style>
  <w:style w:type="paragraph" w:styleId="Heading2">
    <w:name w:val="heading 2"/>
    <w:basedOn w:val="Normal"/>
    <w:next w:val="Normal"/>
    <w:link w:val="Heading2Char"/>
    <w:uiPriority w:val="9"/>
    <w:unhideWhenUsed/>
    <w:qFormat/>
    <w:rsid w:val="00EF124D"/>
    <w:pPr>
      <w:keepNext/>
      <w:keepLines/>
      <w:numPr>
        <w:ilvl w:val="1"/>
        <w:numId w:val="4"/>
      </w:numPr>
      <w:spacing w:before="40"/>
      <w:outlineLvl w:val="1"/>
    </w:pPr>
    <w:rPr>
      <w:rFonts w:ascii="Times New Roman" w:eastAsiaTheme="majorEastAsia" w:hAnsi="Times New Roman" w:cstheme="majorBidi"/>
      <w:b/>
      <w:sz w:val="28"/>
      <w:szCs w:val="26"/>
      <w:lang w:val="en-US" w:eastAsia="en-US"/>
    </w:rPr>
  </w:style>
  <w:style w:type="paragraph" w:styleId="Heading3">
    <w:name w:val="heading 3"/>
    <w:basedOn w:val="Normal"/>
    <w:next w:val="Normal"/>
    <w:link w:val="Heading3Char"/>
    <w:uiPriority w:val="9"/>
    <w:unhideWhenUsed/>
    <w:qFormat/>
    <w:rsid w:val="00EF124D"/>
    <w:pPr>
      <w:keepNext/>
      <w:keepLines/>
      <w:numPr>
        <w:ilvl w:val="2"/>
        <w:numId w:val="4"/>
      </w:numPr>
      <w:spacing w:before="40"/>
      <w:outlineLvl w:val="2"/>
    </w:pPr>
    <w:rPr>
      <w:rFonts w:ascii="Times New Roman" w:eastAsiaTheme="majorEastAsia" w:hAnsi="Times New Roman" w:cstheme="majorBidi"/>
      <w:b/>
      <w:i/>
      <w:sz w:val="28"/>
      <w:lang w:val="en-US" w:eastAsia="en-US"/>
    </w:rPr>
  </w:style>
  <w:style w:type="paragraph" w:styleId="Heading4">
    <w:name w:val="heading 4"/>
    <w:basedOn w:val="Normal"/>
    <w:next w:val="Normal"/>
    <w:link w:val="Heading4Char"/>
    <w:uiPriority w:val="9"/>
    <w:semiHidden/>
    <w:unhideWhenUsed/>
    <w:qFormat/>
    <w:rsid w:val="00EF124D"/>
    <w:pPr>
      <w:keepNext/>
      <w:keepLines/>
      <w:numPr>
        <w:ilvl w:val="3"/>
        <w:numId w:val="4"/>
      </w:numPr>
      <w:spacing w:before="40"/>
      <w:outlineLvl w:val="3"/>
    </w:pPr>
    <w:rPr>
      <w:rFonts w:asciiTheme="majorHAnsi" w:eastAsiaTheme="majorEastAsia" w:hAnsiTheme="majorHAnsi" w:cstheme="majorBidi"/>
      <w:i/>
      <w:iCs/>
      <w:color w:val="2F5496" w:themeColor="accent1" w:themeShade="BF"/>
      <w:lang w:val="en-US" w:eastAsia="en-US"/>
    </w:rPr>
  </w:style>
  <w:style w:type="paragraph" w:styleId="Heading5">
    <w:name w:val="heading 5"/>
    <w:basedOn w:val="Normal"/>
    <w:next w:val="Normal"/>
    <w:link w:val="Heading5Char"/>
    <w:uiPriority w:val="9"/>
    <w:semiHidden/>
    <w:unhideWhenUsed/>
    <w:qFormat/>
    <w:rsid w:val="00EF124D"/>
    <w:pPr>
      <w:keepNext/>
      <w:keepLines/>
      <w:numPr>
        <w:ilvl w:val="4"/>
        <w:numId w:val="4"/>
      </w:numPr>
      <w:spacing w:before="40"/>
      <w:outlineLvl w:val="4"/>
    </w:pPr>
    <w:rPr>
      <w:rFonts w:asciiTheme="majorHAnsi" w:eastAsiaTheme="majorEastAsia" w:hAnsiTheme="majorHAnsi" w:cstheme="majorBidi"/>
      <w:color w:val="2F5496" w:themeColor="accent1" w:themeShade="BF"/>
      <w:lang w:val="en-US" w:eastAsia="en-US"/>
    </w:rPr>
  </w:style>
  <w:style w:type="paragraph" w:styleId="Heading6">
    <w:name w:val="heading 6"/>
    <w:basedOn w:val="Normal"/>
    <w:next w:val="Normal"/>
    <w:link w:val="Heading6Char"/>
    <w:uiPriority w:val="9"/>
    <w:semiHidden/>
    <w:unhideWhenUsed/>
    <w:qFormat/>
    <w:rsid w:val="00EF124D"/>
    <w:pPr>
      <w:keepNext/>
      <w:keepLines/>
      <w:numPr>
        <w:ilvl w:val="5"/>
        <w:numId w:val="4"/>
      </w:numPr>
      <w:spacing w:before="40"/>
      <w:outlineLvl w:val="5"/>
    </w:pPr>
    <w:rPr>
      <w:rFonts w:asciiTheme="majorHAnsi" w:eastAsiaTheme="majorEastAsia" w:hAnsiTheme="majorHAnsi" w:cstheme="majorBidi"/>
      <w:color w:val="1F3763" w:themeColor="accent1" w:themeShade="7F"/>
      <w:lang w:val="en-US" w:eastAsia="en-US"/>
    </w:rPr>
  </w:style>
  <w:style w:type="paragraph" w:styleId="Heading7">
    <w:name w:val="heading 7"/>
    <w:basedOn w:val="Normal"/>
    <w:next w:val="Normal"/>
    <w:link w:val="Heading7Char"/>
    <w:uiPriority w:val="9"/>
    <w:semiHidden/>
    <w:unhideWhenUsed/>
    <w:qFormat/>
    <w:rsid w:val="00EF124D"/>
    <w:pPr>
      <w:keepNext/>
      <w:keepLines/>
      <w:numPr>
        <w:ilvl w:val="6"/>
        <w:numId w:val="4"/>
      </w:numPr>
      <w:spacing w:before="40"/>
      <w:outlineLvl w:val="6"/>
    </w:pPr>
    <w:rPr>
      <w:rFonts w:asciiTheme="majorHAnsi" w:eastAsiaTheme="majorEastAsia" w:hAnsiTheme="majorHAnsi" w:cstheme="majorBidi"/>
      <w:i/>
      <w:iCs/>
      <w:color w:val="1F3763" w:themeColor="accent1" w:themeShade="7F"/>
      <w:lang w:val="en-US" w:eastAsia="en-US"/>
    </w:rPr>
  </w:style>
  <w:style w:type="paragraph" w:styleId="Heading8">
    <w:name w:val="heading 8"/>
    <w:basedOn w:val="Normal"/>
    <w:next w:val="Normal"/>
    <w:link w:val="Heading8Char"/>
    <w:uiPriority w:val="9"/>
    <w:semiHidden/>
    <w:unhideWhenUsed/>
    <w:qFormat/>
    <w:rsid w:val="00EF124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EF124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24D"/>
    <w:rPr>
      <w:rFonts w:ascii="Times New Roman" w:eastAsiaTheme="majorEastAsia" w:hAnsi="Times New Roman" w:cstheme="majorBidi"/>
      <w:b/>
      <w:color w:val="000000" w:themeColor="text1"/>
      <w:sz w:val="28"/>
      <w:szCs w:val="32"/>
      <w:lang w:val="en-US" w:eastAsia="en-US"/>
    </w:rPr>
  </w:style>
  <w:style w:type="character" w:customStyle="1" w:styleId="Heading2Char">
    <w:name w:val="Heading 2 Char"/>
    <w:basedOn w:val="DefaultParagraphFont"/>
    <w:link w:val="Heading2"/>
    <w:uiPriority w:val="9"/>
    <w:rsid w:val="00EF124D"/>
    <w:rPr>
      <w:rFonts w:ascii="Times New Roman" w:eastAsiaTheme="majorEastAsia" w:hAnsi="Times New Roman" w:cstheme="majorBidi"/>
      <w:b/>
      <w:sz w:val="28"/>
      <w:szCs w:val="26"/>
      <w:lang w:val="en-US" w:eastAsia="en-US"/>
    </w:rPr>
  </w:style>
  <w:style w:type="character" w:customStyle="1" w:styleId="Heading3Char">
    <w:name w:val="Heading 3 Char"/>
    <w:basedOn w:val="DefaultParagraphFont"/>
    <w:link w:val="Heading3"/>
    <w:uiPriority w:val="9"/>
    <w:rsid w:val="00EF124D"/>
    <w:rPr>
      <w:rFonts w:ascii="Times New Roman" w:eastAsiaTheme="majorEastAsia" w:hAnsi="Times New Roman" w:cstheme="majorBidi"/>
      <w:b/>
      <w:i/>
      <w:sz w:val="28"/>
      <w:lang w:val="en-US" w:eastAsia="en-US"/>
    </w:rPr>
  </w:style>
  <w:style w:type="character" w:customStyle="1" w:styleId="Heading4Char">
    <w:name w:val="Heading 4 Char"/>
    <w:basedOn w:val="DefaultParagraphFont"/>
    <w:link w:val="Heading4"/>
    <w:uiPriority w:val="9"/>
    <w:semiHidden/>
    <w:rsid w:val="00EF124D"/>
    <w:rPr>
      <w:rFonts w:asciiTheme="majorHAnsi" w:eastAsiaTheme="majorEastAsia" w:hAnsiTheme="majorHAnsi" w:cstheme="majorBidi"/>
      <w:i/>
      <w:iCs/>
      <w:color w:val="2F5496" w:themeColor="accent1" w:themeShade="BF"/>
      <w:lang w:val="en-US" w:eastAsia="en-US"/>
    </w:rPr>
  </w:style>
  <w:style w:type="character" w:customStyle="1" w:styleId="Heading5Char">
    <w:name w:val="Heading 5 Char"/>
    <w:basedOn w:val="DefaultParagraphFont"/>
    <w:link w:val="Heading5"/>
    <w:uiPriority w:val="9"/>
    <w:semiHidden/>
    <w:rsid w:val="00EF124D"/>
    <w:rPr>
      <w:rFonts w:asciiTheme="majorHAnsi" w:eastAsiaTheme="majorEastAsia" w:hAnsiTheme="majorHAnsi" w:cstheme="majorBidi"/>
      <w:color w:val="2F5496" w:themeColor="accent1" w:themeShade="BF"/>
      <w:lang w:val="en-US" w:eastAsia="en-US"/>
    </w:rPr>
  </w:style>
  <w:style w:type="character" w:customStyle="1" w:styleId="Heading6Char">
    <w:name w:val="Heading 6 Char"/>
    <w:basedOn w:val="DefaultParagraphFont"/>
    <w:link w:val="Heading6"/>
    <w:uiPriority w:val="9"/>
    <w:semiHidden/>
    <w:rsid w:val="00EF124D"/>
    <w:rPr>
      <w:rFonts w:asciiTheme="majorHAnsi" w:eastAsiaTheme="majorEastAsia" w:hAnsiTheme="majorHAnsi" w:cstheme="majorBidi"/>
      <w:color w:val="1F3763" w:themeColor="accent1" w:themeShade="7F"/>
      <w:lang w:val="en-US" w:eastAsia="en-US"/>
    </w:rPr>
  </w:style>
  <w:style w:type="character" w:customStyle="1" w:styleId="Heading7Char">
    <w:name w:val="Heading 7 Char"/>
    <w:basedOn w:val="DefaultParagraphFont"/>
    <w:link w:val="Heading7"/>
    <w:uiPriority w:val="9"/>
    <w:semiHidden/>
    <w:rsid w:val="00EF124D"/>
    <w:rPr>
      <w:rFonts w:asciiTheme="majorHAnsi" w:eastAsiaTheme="majorEastAsia" w:hAnsiTheme="majorHAnsi" w:cstheme="majorBidi"/>
      <w:i/>
      <w:iCs/>
      <w:color w:val="1F3763" w:themeColor="accent1" w:themeShade="7F"/>
      <w:lang w:val="en-US" w:eastAsia="en-US"/>
    </w:rPr>
  </w:style>
  <w:style w:type="character" w:customStyle="1" w:styleId="Heading8Char">
    <w:name w:val="Heading 8 Char"/>
    <w:basedOn w:val="DefaultParagraphFont"/>
    <w:link w:val="Heading8"/>
    <w:uiPriority w:val="9"/>
    <w:semiHidden/>
    <w:rsid w:val="00EF124D"/>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EF124D"/>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F124D"/>
    <w:pPr>
      <w:spacing w:after="200" w:line="276" w:lineRule="auto"/>
      <w:ind w:left="720"/>
      <w:contextualSpacing/>
    </w:pPr>
    <w:rPr>
      <w:rFonts w:ascii="Times New Roman" w:eastAsiaTheme="minorHAnsi" w:hAnsi="Times New Roman"/>
      <w:sz w:val="28"/>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2021-10-17T14:02:00Z</dcterms:created>
  <dcterms:modified xsi:type="dcterms:W3CDTF">2021-10-17T14:04:00Z</dcterms:modified>
</cp:coreProperties>
</file>