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0" w:type="dxa"/>
        <w:tblInd w:w="-567" w:type="dxa"/>
        <w:tblLook w:val="04A0" w:firstRow="1" w:lastRow="0" w:firstColumn="1" w:lastColumn="0" w:noHBand="0" w:noVBand="1"/>
      </w:tblPr>
      <w:tblGrid>
        <w:gridCol w:w="4980"/>
        <w:gridCol w:w="10920"/>
      </w:tblGrid>
      <w:tr w:rsidR="00752A79" w:rsidRPr="00752A79" w14:paraId="413A4AC1" w14:textId="77777777" w:rsidTr="00752A79">
        <w:trPr>
          <w:trHeight w:val="40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AF7" w14:textId="503F90B3" w:rsidR="00752A79" w:rsidRPr="00752A79" w:rsidRDefault="00752A79" w:rsidP="00752A79">
            <w:pPr>
              <w:ind w:left="-8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</w:t>
            </w:r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TRƯỜNG ĐẠI HỌC DUY TÂN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4CA5" w14:textId="77777777" w:rsidR="00752A79" w:rsidRPr="00752A79" w:rsidRDefault="00752A79" w:rsidP="00752A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752A79" w:rsidRPr="00752A79" w14:paraId="76CD3393" w14:textId="77777777" w:rsidTr="00752A79">
        <w:trPr>
          <w:trHeight w:val="3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EC5" w14:textId="126DBF49" w:rsidR="00752A79" w:rsidRPr="00752A79" w:rsidRDefault="00752A79" w:rsidP="00752A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</w:t>
            </w:r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KHOA LUẬT</w:t>
            </w:r>
          </w:p>
        </w:tc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18C" w14:textId="5F3764C3" w:rsidR="00752A79" w:rsidRPr="00752A79" w:rsidRDefault="00752A79" w:rsidP="00752A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- </w:t>
            </w:r>
            <w:proofErr w:type="spellStart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- </w:t>
            </w:r>
            <w:proofErr w:type="spellStart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52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</w:tbl>
    <w:p w14:paraId="252E0D17" w14:textId="77777777" w:rsidR="00752A79" w:rsidRDefault="00752A79" w:rsidP="00D67AA7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p w14:paraId="2F829FCF" w14:textId="5FA40C07" w:rsidR="008C52B4" w:rsidRDefault="00D67AA7" w:rsidP="00D67AA7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DA4A7C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KẾ HOẠCH NGHIÊN CỨU KHOA HỌC SINH VIÊN </w:t>
      </w:r>
    </w:p>
    <w:p w14:paraId="336E4934" w14:textId="2E8609FC" w:rsidR="00EA16EA" w:rsidRPr="00EA16EA" w:rsidRDefault="00EA16EA" w:rsidP="00D67AA7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NĂM HỌC 2022 - 2023</w:t>
      </w:r>
    </w:p>
    <w:p w14:paraId="36CD862C" w14:textId="77777777" w:rsidR="00D67AA7" w:rsidRDefault="00D67AA7" w:rsidP="00D67AA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28212C6" w14:textId="203B81F3" w:rsidR="00D67AA7" w:rsidRDefault="00D67AA7" w:rsidP="00D67A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Mục đích </w:t>
      </w:r>
      <w:r w:rsidR="00900ED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và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cầu</w:t>
      </w:r>
    </w:p>
    <w:p w14:paraId="25F4FF7A" w14:textId="0463C983" w:rsidR="00900ED7" w:rsidRDefault="00900ED7" w:rsidP="00900E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Mục đích:</w:t>
      </w:r>
    </w:p>
    <w:p w14:paraId="08FC26E2" w14:textId="61348BDA" w:rsidR="00D67AA7" w:rsidRPr="00900ED7" w:rsidRDefault="00310CEF" w:rsidP="00D67A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Nâng cao kỹ năng nghiên cứu</w:t>
      </w:r>
      <w:r w:rsidR="00900ED7">
        <w:rPr>
          <w:rFonts w:ascii="Times New Roman" w:hAnsi="Times New Roman" w:cs="Times New Roman"/>
          <w:sz w:val="26"/>
          <w:szCs w:val="26"/>
          <w:lang w:val="vi-VN"/>
        </w:rPr>
        <w:t>, phân tích đánh giá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pháp luật</w:t>
      </w:r>
    </w:p>
    <w:p w14:paraId="3564DA1B" w14:textId="01BC34E5" w:rsidR="00900ED7" w:rsidRPr="00900ED7" w:rsidRDefault="00900ED7" w:rsidP="00D67A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Hình thành tư duy phản biện pháp luật và các hiện tượng gắn với pháp luật </w:t>
      </w:r>
    </w:p>
    <w:p w14:paraId="2C45E991" w14:textId="093A4C5D" w:rsidR="00900ED7" w:rsidRDefault="00900ED7" w:rsidP="00D67A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Tạo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>diễn đàn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gắn kết</w:t>
      </w:r>
      <w:r w:rsidR="00E711BF">
        <w:rPr>
          <w:rFonts w:ascii="Times New Roman" w:hAnsi="Times New Roman" w:cs="Times New Roman"/>
          <w:sz w:val="26"/>
          <w:szCs w:val="26"/>
          <w:lang w:val="vi-VN"/>
        </w:rPr>
        <w:t xml:space="preserve">, giao lưu </w:t>
      </w:r>
      <w:r>
        <w:rPr>
          <w:rFonts w:ascii="Times New Roman" w:hAnsi="Times New Roman" w:cs="Times New Roman"/>
          <w:sz w:val="26"/>
          <w:szCs w:val="26"/>
          <w:lang w:val="vi-VN"/>
        </w:rPr>
        <w:t>và mang tính học thuật trong sinh viên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57041EB1" w14:textId="5EC8C5AB" w:rsidR="00900ED7" w:rsidRDefault="00900ED7" w:rsidP="00900ED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cầu:</w:t>
      </w:r>
    </w:p>
    <w:p w14:paraId="57542C61" w14:textId="28633F22" w:rsidR="00900ED7" w:rsidRDefault="00900ED7" w:rsidP="00900E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ED7">
        <w:rPr>
          <w:rFonts w:ascii="Times New Roman" w:hAnsi="Times New Roman" w:cs="Times New Roman"/>
          <w:sz w:val="26"/>
          <w:szCs w:val="26"/>
          <w:lang w:val="vi-VN"/>
        </w:rPr>
        <w:t xml:space="preserve">Có tinh thần làm việc nghiêm </w:t>
      </w:r>
      <w:r>
        <w:rPr>
          <w:rFonts w:ascii="Times New Roman" w:hAnsi="Times New Roman" w:cs="Times New Roman"/>
          <w:sz w:val="26"/>
          <w:szCs w:val="26"/>
          <w:lang w:val="vi-VN"/>
        </w:rPr>
        <w:t>túc</w:t>
      </w:r>
    </w:p>
    <w:p w14:paraId="0279C04A" w14:textId="0C6C7B69" w:rsidR="00900ED7" w:rsidRPr="00900ED7" w:rsidRDefault="00900ED7" w:rsidP="00900E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Tuân thủ sự phân công của nhóm (trong trường hợp làm việc theo nhóm)</w:t>
      </w:r>
    </w:p>
    <w:p w14:paraId="13AF9BF8" w14:textId="394AEE1E" w:rsidR="00D67AA7" w:rsidRPr="00900ED7" w:rsidRDefault="00D67AA7" w:rsidP="00900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Đối tượng và hình thức tham gia</w:t>
      </w:r>
    </w:p>
    <w:p w14:paraId="0E43B660" w14:textId="5DA059F2" w:rsidR="00D67AA7" w:rsidRDefault="00D67AA7" w:rsidP="00D67A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67AA7">
        <w:rPr>
          <w:rFonts w:ascii="Times New Roman" w:hAnsi="Times New Roman" w:cs="Times New Roman"/>
          <w:sz w:val="26"/>
          <w:szCs w:val="26"/>
          <w:lang w:val="vi-VN"/>
        </w:rPr>
        <w:t xml:space="preserve">Sinh viên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khoa Luật </w:t>
      </w:r>
      <w:r w:rsidRPr="00D67AA7">
        <w:rPr>
          <w:rFonts w:ascii="Times New Roman" w:hAnsi="Times New Roman" w:cs="Times New Roman"/>
          <w:sz w:val="26"/>
          <w:szCs w:val="26"/>
          <w:lang w:val="vi-VN"/>
        </w:rPr>
        <w:t>các khoá 25, 26 và 27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A2B64DA" w14:textId="5328D357" w:rsidR="00D67AA7" w:rsidRDefault="00D67AA7" w:rsidP="00D67A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Mỗi đề tài được thực hiện từ 1 đến 3 sinh viên (khuyến khích nghiên cứu theo nhóm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kết hợp giữa </w:t>
      </w:r>
      <w:r>
        <w:rPr>
          <w:rFonts w:ascii="Times New Roman" w:hAnsi="Times New Roman" w:cs="Times New Roman"/>
          <w:sz w:val="26"/>
          <w:szCs w:val="26"/>
          <w:lang w:val="vi-VN"/>
        </w:rPr>
        <w:t>03 sinh viên các khoá với nhau</w:t>
      </w:r>
      <w:r w:rsidR="00E711BF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2AB46664" w14:textId="7B3E870C" w:rsidR="00D67AA7" w:rsidRPr="00E711BF" w:rsidRDefault="00E711BF" w:rsidP="00D67A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711BF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Chọn và triển khai thực hiện đề tài</w:t>
      </w:r>
    </w:p>
    <w:p w14:paraId="28CFDC95" w14:textId="79CC3D55" w:rsidR="00E711BF" w:rsidRDefault="00E711BF" w:rsidP="00E711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Sinh viên chọn một trong các đề tài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trong danh mục do các thầy, cô trong </w:t>
      </w:r>
      <w:r>
        <w:rPr>
          <w:rFonts w:ascii="Times New Roman" w:hAnsi="Times New Roman" w:cs="Times New Roman"/>
          <w:sz w:val="26"/>
          <w:szCs w:val="26"/>
          <w:lang w:val="vi-VN"/>
        </w:rPr>
        <w:t>Khoa đ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ề xuất </w:t>
      </w:r>
      <w:r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đính kèm </w:t>
      </w:r>
      <w:r>
        <w:rPr>
          <w:rFonts w:ascii="Times New Roman" w:hAnsi="Times New Roman" w:cs="Times New Roman"/>
          <w:sz w:val="26"/>
          <w:szCs w:val="26"/>
          <w:lang w:val="vi-VN"/>
        </w:rPr>
        <w:t>bên dưới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>) và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sinh viên chọn đề tài nào thì giảng viên đề xuất đề tài đó hướng dẫn;</w:t>
      </w:r>
    </w:p>
    <w:p w14:paraId="50D0FAF9" w14:textId="2ECAE77F" w:rsidR="00E711BF" w:rsidRDefault="00E711BF" w:rsidP="00E711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Khuyến khích sinh viên chọn đề tài bên ngoài danh mục nhưng phải bảo đảm có tính mới</w:t>
      </w:r>
      <w:r w:rsidR="001226B0">
        <w:rPr>
          <w:rFonts w:ascii="Times New Roman" w:hAnsi="Times New Roman" w:cs="Times New Roman"/>
          <w:sz w:val="26"/>
          <w:szCs w:val="26"/>
          <w:lang w:val="vi-VN"/>
        </w:rPr>
        <w:t xml:space="preserve">, tính thời sự. Nếu sinh viên đề xuất đề tài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ngoài danh mục </w:t>
      </w:r>
      <w:r w:rsidR="001226B0">
        <w:rPr>
          <w:rFonts w:ascii="Times New Roman" w:hAnsi="Times New Roman" w:cs="Times New Roman"/>
          <w:sz w:val="26"/>
          <w:szCs w:val="26"/>
          <w:lang w:val="vi-VN"/>
        </w:rPr>
        <w:t>nhưng không nhờ được giảng viên hướng dẫn thì Khoa sẽ phân công</w:t>
      </w:r>
      <w:r w:rsidR="008E1879">
        <w:rPr>
          <w:rFonts w:ascii="Times New Roman" w:hAnsi="Times New Roman" w:cs="Times New Roman"/>
          <w:sz w:val="26"/>
          <w:szCs w:val="26"/>
        </w:rPr>
        <w:t>.</w:t>
      </w:r>
    </w:p>
    <w:p w14:paraId="23459AD8" w14:textId="391FCF42" w:rsidR="001226B0" w:rsidRDefault="001226B0" w:rsidP="00E711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Sau khi xác định đề tài nghiên cứu, sinh viên đăng ký về Khoa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để Khoa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phân công người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hướng dẫn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 xml:space="preserve"> và hoàn thành các 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 xml:space="preserve">thủ tục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biểu mẫu đăng ký</w:t>
      </w:r>
      <w:r w:rsidR="00E31617">
        <w:rPr>
          <w:rFonts w:ascii="Times New Roman" w:hAnsi="Times New Roman" w:cs="Times New Roman"/>
          <w:sz w:val="26"/>
          <w:szCs w:val="26"/>
          <w:lang w:val="vi-VN"/>
        </w:rPr>
        <w:t>; sau đó tiến hành nghiên cứu và thực hiện đề tài</w:t>
      </w:r>
      <w:r w:rsidR="008E187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67ED40F8" w14:textId="1C04497E" w:rsidR="00E31617" w:rsidRDefault="00E31617" w:rsidP="00E711B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Về hình thức:</w:t>
      </w:r>
    </w:p>
    <w:p w14:paraId="6B841A8C" w14:textId="0DB83676" w:rsidR="00E31617" w:rsidRDefault="00E31617" w:rsidP="00E31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Pont chữ: times new Roman</w:t>
      </w:r>
    </w:p>
    <w:p w14:paraId="6F0E135F" w14:textId="6D08DC61" w:rsidR="00E31617" w:rsidRDefault="00E31617" w:rsidP="00E31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Cỡ chữ 13</w:t>
      </w:r>
    </w:p>
    <w:p w14:paraId="07FB6CC1" w14:textId="01C8D851" w:rsidR="00E31617" w:rsidRDefault="00E31617" w:rsidP="00E31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Giãn dòng: 1.5</w:t>
      </w:r>
    </w:p>
    <w:p w14:paraId="111F5BCB" w14:textId="7B50E5D3" w:rsidR="009827D1" w:rsidRDefault="009827D1" w:rsidP="00E31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Số trang (chỉ tính từ trang đầu tiên của chương 1 đến trang cuối của chương cuối) tối thiểu 30 trang và tối đa 40 trang</w:t>
      </w:r>
    </w:p>
    <w:p w14:paraId="3D7154FA" w14:textId="698DC609" w:rsidR="00E31617" w:rsidRDefault="009827D1" w:rsidP="00E31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Cấu trúc của Báo cáo</w:t>
      </w:r>
    </w:p>
    <w:p w14:paraId="7EF3472B" w14:textId="087ED3F8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Trang bìa</w:t>
      </w:r>
    </w:p>
    <w:p w14:paraId="049692A9" w14:textId="46786717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Lời nói đầu</w:t>
      </w:r>
    </w:p>
    <w:p w14:paraId="1417AAD6" w14:textId="4979B976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Mục lục</w:t>
      </w:r>
    </w:p>
    <w:p w14:paraId="5DCCADBF" w14:textId="6C174F21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Các chương</w:t>
      </w:r>
    </w:p>
    <w:p w14:paraId="5543A32B" w14:textId="0FFF5A82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Kết luận</w:t>
      </w:r>
    </w:p>
    <w:p w14:paraId="523FE1FA" w14:textId="6AA4ED97" w:rsidR="009827D1" w:rsidRDefault="009827D1" w:rsidP="009827D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+ Danh mục tài liệu tham khảo</w:t>
      </w:r>
    </w:p>
    <w:p w14:paraId="7B3168E4" w14:textId="2076C23E" w:rsidR="001226B0" w:rsidRPr="00A467D4" w:rsidRDefault="001226B0" w:rsidP="00122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467D4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Thời gian và tiến độ:</w:t>
      </w:r>
    </w:p>
    <w:p w14:paraId="07067C46" w14:textId="40D5DD44" w:rsidR="001226B0" w:rsidRDefault="001226B0" w:rsidP="001226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Ngày </w:t>
      </w:r>
      <w:r w:rsidR="008F4E85">
        <w:rPr>
          <w:rFonts w:ascii="Times New Roman" w:hAnsi="Times New Roman" w:cs="Times New Roman"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/9/2022 – </w:t>
      </w:r>
      <w:r w:rsidR="009827D1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8F4E85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>/9/2022: triển khai kế hoạch đến các lớp</w:t>
      </w:r>
    </w:p>
    <w:p w14:paraId="7CA152C9" w14:textId="7D5A69FE" w:rsidR="00A467D4" w:rsidRPr="00A467D4" w:rsidRDefault="001226B0" w:rsidP="00A467D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Ngày </w:t>
      </w:r>
      <w:r w:rsidR="009827D1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8F4E85">
        <w:rPr>
          <w:rFonts w:ascii="Times New Roman" w:hAnsi="Times New Roman" w:cs="Times New Roman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9827D1">
        <w:rPr>
          <w:rFonts w:ascii="Times New Roman" w:hAnsi="Times New Roman" w:cs="Times New Roman"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/2022 – </w:t>
      </w:r>
      <w:r w:rsidR="008F4E85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/10/2022: sinh viên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đăng ký và Khoa phân công người hướng dẫn</w:t>
      </w:r>
      <w:r w:rsidR="00DA4A7C">
        <w:rPr>
          <w:rFonts w:ascii="Times New Roman" w:hAnsi="Times New Roman" w:cs="Times New Roman"/>
          <w:sz w:val="26"/>
          <w:szCs w:val="26"/>
          <w:lang w:val="vi-VN"/>
        </w:rPr>
        <w:t>; đồng thời tiến hành các thủ tục để nhà trường ra quyết định.</w:t>
      </w:r>
    </w:p>
    <w:p w14:paraId="5B4D6D62" w14:textId="6D3FC501" w:rsidR="00DA4A7C" w:rsidRDefault="008F4E85" w:rsidP="001226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6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 xml:space="preserve">/10/2022 – </w:t>
      </w:r>
      <w:r w:rsidR="00DA4A7C">
        <w:rPr>
          <w:rFonts w:ascii="Times New Roman" w:hAnsi="Times New Roman" w:cs="Times New Roman"/>
          <w:sz w:val="26"/>
          <w:szCs w:val="26"/>
          <w:lang w:val="vi-VN"/>
        </w:rPr>
        <w:t>15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 xml:space="preserve">/3/2023: </w:t>
      </w:r>
      <w:proofErr w:type="spellStart"/>
      <w:r w:rsidR="00EC3C5E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="00EC3C5E">
        <w:rPr>
          <w:rFonts w:ascii="Times New Roman" w:hAnsi="Times New Roman" w:cs="Times New Roman"/>
          <w:sz w:val="26"/>
          <w:szCs w:val="26"/>
          <w:lang w:val="vi-VN"/>
        </w:rPr>
        <w:t>ực hện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 xml:space="preserve"> đề tài</w:t>
      </w:r>
      <w:r w:rsidR="003462C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09685B" w14:textId="5EF31F13" w:rsidR="003462CA" w:rsidRPr="003462CA" w:rsidRDefault="003462CA" w:rsidP="003462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16/3/2022 – 23/3/2023: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F2D7730" w14:textId="5A290FA5" w:rsidR="003462CA" w:rsidRPr="003462CA" w:rsidRDefault="003462CA" w:rsidP="003462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24/3/2022 – 30/3/2023: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B2476A6" w14:textId="13BBC4FB" w:rsidR="00A467D4" w:rsidRDefault="00DA4A7C" w:rsidP="001226B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4/2023 Báo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 xml:space="preserve">cáo nghiệm thu </w:t>
      </w:r>
      <w:r w:rsidR="00E725BA">
        <w:rPr>
          <w:rFonts w:ascii="Times New Roman" w:hAnsi="Times New Roman" w:cs="Times New Roman"/>
          <w:sz w:val="26"/>
          <w:szCs w:val="26"/>
          <w:lang w:val="vi-VN"/>
        </w:rPr>
        <w:t xml:space="preserve">đề tài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cấp Trường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(các đề tài sau khi báo cáo cấp Khoa nếu đạt sẽ được chọn báo cáo cấp trường để </w:t>
      </w:r>
      <w:r w:rsidR="00A467D4">
        <w:rPr>
          <w:rFonts w:ascii="Times New Roman" w:hAnsi="Times New Roman" w:cs="Times New Roman"/>
          <w:sz w:val="26"/>
          <w:szCs w:val="26"/>
          <w:lang w:val="vi-VN"/>
        </w:rPr>
        <w:t>trao giải và phát thưởng).</w:t>
      </w:r>
    </w:p>
    <w:p w14:paraId="25809046" w14:textId="5EB7496E" w:rsidR="009007BF" w:rsidRPr="009007BF" w:rsidRDefault="009007BF" w:rsidP="009007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07BF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9007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07BF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9007B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Theo qui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CF9590D" w14:textId="77777777" w:rsidR="00DA4A7C" w:rsidRDefault="00DA4A7C" w:rsidP="00DA4A7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2757CF7" w14:textId="2C802459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4AFF3D94" w14:textId="3CEA290A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E35290A" w14:textId="58745E9D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35EA227" w14:textId="607F61F8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1DE62F4" w14:textId="1B86E7C9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64155B5" w14:textId="16285EF2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FE2E758" w14:textId="77777777" w:rsidR="009007BF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  <w:sectPr w:rsidR="009007BF" w:rsidSect="00752A79">
          <w:pgSz w:w="12240" w:h="15840"/>
          <w:pgMar w:top="709" w:right="1440" w:bottom="1440" w:left="1440" w:header="708" w:footer="708" w:gutter="0"/>
          <w:cols w:space="708"/>
          <w:docGrid w:linePitch="360"/>
        </w:sectPr>
      </w:pPr>
    </w:p>
    <w:p w14:paraId="5474B38C" w14:textId="6A4B4F85" w:rsidR="00006C75" w:rsidRDefault="00D61784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</w:t>
      </w:r>
      <w:r w:rsidR="00006C75" w:rsidRPr="00006C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6C7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</w:t>
      </w:r>
      <w:r w:rsidR="00006C75" w:rsidRPr="00006C75">
        <w:rPr>
          <w:rFonts w:ascii="Times New Roman" w:hAnsi="Times New Roman" w:cs="Times New Roman"/>
          <w:b/>
          <w:bCs/>
          <w:sz w:val="26"/>
          <w:szCs w:val="26"/>
        </w:rPr>
        <w:t xml:space="preserve">DANH </w:t>
      </w:r>
      <w:r w:rsidR="00006C75">
        <w:rPr>
          <w:rFonts w:ascii="Times New Roman" w:hAnsi="Times New Roman" w:cs="Times New Roman"/>
          <w:b/>
          <w:bCs/>
          <w:sz w:val="26"/>
          <w:szCs w:val="26"/>
        </w:rPr>
        <w:t>MỤC</w:t>
      </w:r>
      <w:r w:rsidR="00006C75" w:rsidRPr="00006C75">
        <w:rPr>
          <w:rFonts w:ascii="Times New Roman" w:hAnsi="Times New Roman" w:cs="Times New Roman"/>
          <w:b/>
          <w:bCs/>
          <w:sz w:val="26"/>
          <w:szCs w:val="26"/>
        </w:rPr>
        <w:t xml:space="preserve"> TÊN ĐỀ TÀI NGHIÊN CỨU KHOA HỌC NĂM HỌC 2022-2023</w:t>
      </w:r>
    </w:p>
    <w:tbl>
      <w:tblPr>
        <w:tblW w:w="15157" w:type="dxa"/>
        <w:tblLook w:val="04A0" w:firstRow="1" w:lastRow="0" w:firstColumn="1" w:lastColumn="0" w:noHBand="0" w:noVBand="1"/>
      </w:tblPr>
      <w:tblGrid>
        <w:gridCol w:w="708"/>
        <w:gridCol w:w="3251"/>
        <w:gridCol w:w="2694"/>
        <w:gridCol w:w="7654"/>
        <w:gridCol w:w="850"/>
      </w:tblGrid>
      <w:tr w:rsidR="00006C75" w:rsidRPr="00006C75" w14:paraId="5E510C68" w14:textId="77777777" w:rsidTr="00006C75">
        <w:trPr>
          <w:trHeight w:val="9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C228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37C8E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ĐỀ TÀI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2F86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GIẢNG VIÊN </w:t>
            </w: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HƯỚNG DẪN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FCA6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DIỄN GIẢI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4025" w14:textId="77777777" w:rsid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GHI </w:t>
            </w:r>
          </w:p>
          <w:p w14:paraId="12764566" w14:textId="1959D4AA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6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</w:p>
        </w:tc>
      </w:tr>
      <w:tr w:rsidR="00006C75" w:rsidRPr="00006C75" w14:paraId="6E2C9835" w14:textId="77777777" w:rsidTr="00006C75">
        <w:trPr>
          <w:trHeight w:val="123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5CE04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604D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0C37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7433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77051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5C251FDA" w14:textId="77777777" w:rsidTr="00006C75">
        <w:trPr>
          <w:trHeight w:val="259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81FB7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9010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UNCLOS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94D2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226A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UNCLOS</w:t>
            </w: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UNCLOS</w:t>
            </w: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UNCLOS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B2C73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32419DE5" w14:textId="77777777" w:rsidTr="00006C75">
        <w:trPr>
          <w:trHeight w:val="12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D380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9F28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Campuchia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8A35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1ACE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Campuchia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VN-CPC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E6F494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71FE9A64" w14:textId="77777777" w:rsidTr="00006C75">
        <w:trPr>
          <w:trHeight w:val="145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339A7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7EE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54F5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FEF8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Malaysia - Singapore; Malaysia – Indonesia; Philippines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Campuchia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Lan</w:t>
            </w: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5019E7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3623D73C" w14:textId="77777777" w:rsidTr="00006C75">
        <w:trPr>
          <w:trHeight w:val="15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E89C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69934B" w14:textId="77777777" w:rsidR="00006C75" w:rsidRPr="00006C75" w:rsidRDefault="00006C75" w:rsidP="00006C75">
            <w:pPr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bảo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vệ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quyền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lợi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người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trong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quan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hệ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904A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646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80D5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666558D8" w14:textId="77777777" w:rsidTr="00006C75">
        <w:trPr>
          <w:trHeight w:val="7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E779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DC29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C425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3A29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0A0CB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216A39A3" w14:textId="77777777" w:rsidTr="00006C75">
        <w:trPr>
          <w:trHeight w:val="195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E5326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BC3D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2510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936E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quấy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E0BAC7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06ECACBC" w14:textId="77777777" w:rsidTr="00006C75">
        <w:trPr>
          <w:trHeight w:val="7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F7C9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9E21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logistics - </w:t>
            </w: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E361B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535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logistics,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logistics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F3C64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6B76A439" w14:textId="77777777" w:rsidTr="00006C75">
        <w:trPr>
          <w:trHeight w:val="7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6B0F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F239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2B07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9FD6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1284A0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1531ECEF" w14:textId="77777777" w:rsidTr="00006C75">
        <w:trPr>
          <w:trHeight w:val="18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6FE17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9B09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8A92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0F3A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(2)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nay. (3)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01E94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708D6AFD" w14:textId="77777777" w:rsidTr="00006C75">
        <w:trPr>
          <w:trHeight w:val="12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4625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D18F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Mobile - Money ở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-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25CE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14EB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Mobile - Money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(2)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Case law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(3)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46757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4A6573CC" w14:textId="77777777" w:rsidTr="00006C75">
        <w:trPr>
          <w:trHeight w:val="124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E6BCF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E6CC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1106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091D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(2)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đẩy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999FE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73D7AAD4" w14:textId="77777777" w:rsidTr="00006C75">
        <w:trPr>
          <w:trHeight w:val="1245"/>
        </w:trPr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40BD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84E28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108D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Thu Na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6B7A7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thừa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077FB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06C75" w:rsidRPr="00006C75" w14:paraId="671FEABD" w14:textId="77777777" w:rsidTr="00006C75">
        <w:trPr>
          <w:trHeight w:val="132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6E45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B00C3C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doanh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11FE" w14:textId="77777777" w:rsidR="00006C75" w:rsidRPr="00006C75" w:rsidRDefault="00006C75" w:rsidP="00006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Thu Na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0091FF5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thuế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nghijhoanf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BB5F2" w14:textId="77777777" w:rsidR="00006C75" w:rsidRPr="00006C75" w:rsidRDefault="00006C75" w:rsidP="00006C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E7FBF22" w14:textId="42BFD5AA" w:rsidR="00D61784" w:rsidRPr="00D61784" w:rsidRDefault="00D61784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8480" w:type="dxa"/>
        <w:jc w:val="right"/>
        <w:tblLook w:val="04A0" w:firstRow="1" w:lastRow="0" w:firstColumn="1" w:lastColumn="0" w:noHBand="0" w:noVBand="1"/>
      </w:tblPr>
      <w:tblGrid>
        <w:gridCol w:w="4240"/>
        <w:gridCol w:w="4240"/>
      </w:tblGrid>
      <w:tr w:rsidR="00D61784" w:rsidRPr="00D61784" w14:paraId="30252FE8" w14:textId="77777777" w:rsidTr="00D61784">
        <w:trPr>
          <w:trHeight w:val="435"/>
          <w:jc w:val="righ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64A0" w14:textId="6274FC0E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</w:t>
            </w:r>
            <w:proofErr w:type="spellStart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Đà</w:t>
            </w:r>
            <w:proofErr w:type="spellEnd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Nẵng</w:t>
            </w:r>
            <w:proofErr w:type="spellEnd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16 </w:t>
            </w:r>
            <w:proofErr w:type="spellStart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="00006C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09</w:t>
            </w:r>
            <w:r w:rsidRPr="00D617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2022</w:t>
            </w:r>
          </w:p>
        </w:tc>
      </w:tr>
      <w:tr w:rsidR="00D61784" w:rsidRPr="00D61784" w14:paraId="5EF32137" w14:textId="77777777" w:rsidTr="00D61784">
        <w:trPr>
          <w:trHeight w:val="495"/>
          <w:jc w:val="righ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2B2" w14:textId="351F2825" w:rsidR="00D61784" w:rsidRPr="00D61784" w:rsidRDefault="00D61784" w:rsidP="00D617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Lãnh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Đạo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</w:t>
            </w:r>
            <w:proofErr w:type="spellEnd"/>
          </w:p>
        </w:tc>
      </w:tr>
      <w:tr w:rsidR="00D61784" w:rsidRPr="00D61784" w14:paraId="14550CC2" w14:textId="77777777" w:rsidTr="00D61784">
        <w:trPr>
          <w:trHeight w:val="330"/>
          <w:jc w:val="right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0EB" w14:textId="77777777" w:rsidR="00D61784" w:rsidRPr="00D61784" w:rsidRDefault="00D61784" w:rsidP="00D617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D77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784" w:rsidRPr="00D61784" w14:paraId="73777555" w14:textId="77777777" w:rsidTr="00D61784">
        <w:trPr>
          <w:trHeight w:val="330"/>
          <w:jc w:val="right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2FBE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784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784" w:rsidRPr="00D61784" w14:paraId="0BCDAAAF" w14:textId="77777777" w:rsidTr="00D61784">
        <w:trPr>
          <w:trHeight w:val="315"/>
          <w:jc w:val="right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AAD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ECB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784" w:rsidRPr="00D61784" w14:paraId="139629AE" w14:textId="77777777" w:rsidTr="00D61784">
        <w:trPr>
          <w:trHeight w:val="315"/>
          <w:jc w:val="right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57E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8C46" w14:textId="77777777" w:rsidR="00D61784" w:rsidRPr="00D61784" w:rsidRDefault="00D61784" w:rsidP="00D617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784" w:rsidRPr="00D61784" w14:paraId="10E2CD0C" w14:textId="77777777" w:rsidTr="00D61784">
        <w:trPr>
          <w:trHeight w:val="315"/>
          <w:jc w:val="righ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04C" w14:textId="5B0ED273" w:rsidR="00D61784" w:rsidRPr="00D61784" w:rsidRDefault="00D61784" w:rsidP="00D617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ThS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Trung</w:t>
            </w:r>
            <w:proofErr w:type="spellEnd"/>
          </w:p>
        </w:tc>
      </w:tr>
    </w:tbl>
    <w:p w14:paraId="63B7110A" w14:textId="296DA5D6" w:rsidR="009007BF" w:rsidRPr="00D61784" w:rsidRDefault="009007BF" w:rsidP="009007B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007BF" w:rsidRPr="00D61784" w:rsidSect="00006C75">
      <w:pgSz w:w="15840" w:h="12240" w:orient="landscape"/>
      <w:pgMar w:top="1276" w:right="51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E1E"/>
    <w:multiLevelType w:val="hybridMultilevel"/>
    <w:tmpl w:val="6F2429BA"/>
    <w:lvl w:ilvl="0" w:tplc="90D85AB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8467D0"/>
    <w:multiLevelType w:val="hybridMultilevel"/>
    <w:tmpl w:val="B2481D48"/>
    <w:lvl w:ilvl="0" w:tplc="A71205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033BEB"/>
    <w:multiLevelType w:val="hybridMultilevel"/>
    <w:tmpl w:val="7110EEB4"/>
    <w:lvl w:ilvl="0" w:tplc="FCF27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3BB1"/>
    <w:multiLevelType w:val="hybridMultilevel"/>
    <w:tmpl w:val="9AAC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412"/>
    <w:multiLevelType w:val="hybridMultilevel"/>
    <w:tmpl w:val="491C26B2"/>
    <w:lvl w:ilvl="0" w:tplc="6DC0BC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A7"/>
    <w:rsid w:val="00006C75"/>
    <w:rsid w:val="00022654"/>
    <w:rsid w:val="001226B0"/>
    <w:rsid w:val="00184504"/>
    <w:rsid w:val="00252659"/>
    <w:rsid w:val="002C3F4D"/>
    <w:rsid w:val="00310CEF"/>
    <w:rsid w:val="003462CA"/>
    <w:rsid w:val="00346CB0"/>
    <w:rsid w:val="004548EB"/>
    <w:rsid w:val="004F78A3"/>
    <w:rsid w:val="00752A79"/>
    <w:rsid w:val="00785D61"/>
    <w:rsid w:val="008C52B4"/>
    <w:rsid w:val="008E1879"/>
    <w:rsid w:val="008F4E85"/>
    <w:rsid w:val="009007BF"/>
    <w:rsid w:val="00900ED7"/>
    <w:rsid w:val="00967B02"/>
    <w:rsid w:val="009827D1"/>
    <w:rsid w:val="00A467D4"/>
    <w:rsid w:val="00C56335"/>
    <w:rsid w:val="00D61784"/>
    <w:rsid w:val="00D67AA7"/>
    <w:rsid w:val="00DA4A7C"/>
    <w:rsid w:val="00E127D5"/>
    <w:rsid w:val="00E31617"/>
    <w:rsid w:val="00E700FB"/>
    <w:rsid w:val="00E711BF"/>
    <w:rsid w:val="00E725BA"/>
    <w:rsid w:val="00EA16EA"/>
    <w:rsid w:val="00EC3C5E"/>
    <w:rsid w:val="00F0474D"/>
    <w:rsid w:val="00F06F01"/>
    <w:rsid w:val="00F944C0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4422"/>
  <w15:chartTrackingRefBased/>
  <w15:docId w15:val="{A3E60019-AD6E-D44F-B2DF-2677E65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10</cp:revision>
  <cp:lastPrinted>2022-09-15T08:11:00Z</cp:lastPrinted>
  <dcterms:created xsi:type="dcterms:W3CDTF">2022-09-19T07:25:00Z</dcterms:created>
  <dcterms:modified xsi:type="dcterms:W3CDTF">2022-09-19T08:38:00Z</dcterms:modified>
</cp:coreProperties>
</file>