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38" w:rsidRDefault="00414338" w:rsidP="00414338">
      <w:pPr>
        <w:shd w:val="clear" w:color="auto" w:fill="FFFFFF"/>
        <w:spacing w:before="300" w:after="0" w:line="510" w:lineRule="atLeast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</w:pP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Chính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thức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tăng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lương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tối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thiểu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vùng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cho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người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lao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động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</w:t>
      </w:r>
      <w:proofErr w:type="spellStart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>từ</w:t>
      </w:r>
      <w:proofErr w:type="spellEnd"/>
      <w:r w:rsidRPr="00414338">
        <w:rPr>
          <w:rFonts w:ascii="Arial" w:eastAsia="Times New Roman" w:hAnsi="Arial" w:cs="Arial"/>
          <w:b/>
          <w:bCs/>
          <w:color w:val="181818"/>
          <w:kern w:val="36"/>
          <w:sz w:val="38"/>
          <w:szCs w:val="38"/>
        </w:rPr>
        <w:t xml:space="preserve"> 1/7/2022</w:t>
      </w:r>
    </w:p>
    <w:p w:rsidR="00414338" w:rsidRPr="00414338" w:rsidRDefault="00414338" w:rsidP="00414338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bookmarkStart w:id="0" w:name="_GoBack"/>
      <w:bookmarkEnd w:id="0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  <w:lang w:val="vi-VN"/>
        </w:rPr>
        <w:t>N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gày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12/6/2022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Phó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Thủ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tướng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Thường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trực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Phạm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Bình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Minh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đã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ký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Nghị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số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38/2022/NĐ-CP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quy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đối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với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làm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hợp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đồng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Cs/>
          <w:color w:val="565656"/>
          <w:sz w:val="29"/>
          <w:szCs w:val="29"/>
        </w:rPr>
        <w:t>động</w:t>
      </w:r>
      <w:proofErr w:type="spellEnd"/>
      <w:r>
        <w:rPr>
          <w:rFonts w:ascii="Times New Roman" w:eastAsia="Times New Roman" w:hAnsi="Times New Roman" w:cs="Times New Roman"/>
          <w:color w:val="565656"/>
          <w:sz w:val="29"/>
          <w:szCs w:val="29"/>
          <w:lang w:val="vi-VN"/>
        </w:rPr>
        <w:t>.</w:t>
      </w:r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Nghị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này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 </w:t>
      </w:r>
      <w:proofErr w:type="spellStart"/>
      <w:r w:rsidRPr="00414338">
        <w:rPr>
          <w:rFonts w:ascii="Times New Roman" w:eastAsia="Times New Roman" w:hAnsi="Times New Roman" w:cs="Times New Roman"/>
          <w:sz w:val="29"/>
          <w:szCs w:val="29"/>
        </w:rPr>
        <w:fldChar w:fldCharType="begin"/>
      </w:r>
      <w:r w:rsidRPr="00414338">
        <w:rPr>
          <w:rFonts w:ascii="Times New Roman" w:eastAsia="Times New Roman" w:hAnsi="Times New Roman" w:cs="Times New Roman"/>
          <w:sz w:val="29"/>
          <w:szCs w:val="29"/>
        </w:rPr>
        <w:instrText xml:space="preserve"> HYPERLINK "https://vtv.vn/kinh-te/de-xuat-luong-toi-thieu-theo-gio-nguoi-lao-dong-co-them-co-so-thoa-thuan-luong-2022061009420998.htm" \o "Đề xuất lương tối thiểu theo giờ: Người lao động có thêm cơ sở thỏa thuận lương" \t "_blank" </w:instrText>
      </w:r>
      <w:r w:rsidRPr="00414338">
        <w:rPr>
          <w:rFonts w:ascii="Times New Roman" w:eastAsia="Times New Roman" w:hAnsi="Times New Roman" w:cs="Times New Roman"/>
          <w:sz w:val="29"/>
          <w:szCs w:val="29"/>
        </w:rPr>
        <w:fldChar w:fldCharType="separate"/>
      </w:r>
      <w:r w:rsidRPr="00414338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sz w:val="29"/>
          <w:szCs w:val="29"/>
        </w:rPr>
        <w:fldChar w:fldCharType="end"/>
      </w:r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 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và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giờ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áp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dụng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với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hợp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đồng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</w:pPr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  <w:lang w:val="vi-VN"/>
        </w:rPr>
        <w:t xml:space="preserve">1. </w:t>
      </w:r>
      <w:proofErr w:type="spellStart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>Đối</w:t>
      </w:r>
      <w:proofErr w:type="spellEnd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>tượng</w:t>
      </w:r>
      <w:proofErr w:type="spellEnd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>áp</w:t>
      </w:r>
      <w:proofErr w:type="spellEnd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>dụng</w:t>
      </w:r>
      <w:proofErr w:type="spellEnd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>gồm</w:t>
      </w:r>
      <w:proofErr w:type="spellEnd"/>
      <w:r w:rsidRPr="00414338">
        <w:rPr>
          <w:rFonts w:ascii="Times New Roman" w:eastAsia="Times New Roman" w:hAnsi="Times New Roman" w:cs="Times New Roman"/>
          <w:b/>
          <w:color w:val="565656"/>
          <w:sz w:val="29"/>
          <w:szCs w:val="29"/>
        </w:rPr>
        <w:t>: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-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hợp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đồng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của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Bộ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luật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Lao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-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sử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dụng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của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Bộ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luật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Lao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gồm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: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Doanh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nghiệp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của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Luật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Doanh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nghiệp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;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quan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tổ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chức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hợp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tác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xã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hộ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đình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nhân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có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thuê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mướn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sử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dụng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cho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mình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thỏa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thuận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-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Các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quan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tổ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chức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nhân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khác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có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liên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quan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đến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thực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hiện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tại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Nghị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này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414338" w:rsidRPr="00414338" w:rsidRDefault="00414338" w:rsidP="00414338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  <w:lang w:val="vi-VN"/>
        </w:rPr>
        <w:t xml:space="preserve">2. </w:t>
      </w:r>
      <w:proofErr w:type="spellStart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>Tăng</w:t>
      </w:r>
      <w:proofErr w:type="spellEnd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>tiền</w:t>
      </w:r>
      <w:proofErr w:type="spellEnd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>vùng</w:t>
      </w:r>
      <w:proofErr w:type="spellEnd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>thêm</w:t>
      </w:r>
      <w:proofErr w:type="spellEnd"/>
      <w:r w:rsidRPr="00414338">
        <w:rPr>
          <w:rFonts w:ascii="Times New Roman" w:eastAsia="Times New Roman" w:hAnsi="Times New Roman" w:cs="Times New Roman"/>
          <w:b/>
          <w:bCs/>
          <w:color w:val="565656"/>
          <w:sz w:val="29"/>
          <w:szCs w:val="29"/>
          <w:bdr w:val="none" w:sz="0" w:space="0" w:color="auto" w:frame="1"/>
        </w:rPr>
        <w:t xml:space="preserve"> 6%</w:t>
      </w:r>
    </w:p>
    <w:p w:rsid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Vê</w:t>
      </w:r>
      <w:proofErr w:type="spellEnd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̀ </w:t>
      </w:r>
      <w:proofErr w:type="spellStart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mức</w:t>
      </w:r>
      <w:proofErr w:type="spellEnd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lương</w:t>
      </w:r>
      <w:proofErr w:type="spellEnd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tối</w:t>
      </w:r>
      <w:proofErr w:type="spellEnd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thiểu</w:t>
      </w:r>
      <w:proofErr w:type="spellEnd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</w:p>
    <w:p w:rsid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Nghị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định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các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mức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lương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tối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thiểu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4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vùng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: 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Vùng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I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tăng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260.000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đồng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từ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4.420.000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lên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4.680.000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.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Vùng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II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tăng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240.000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đồng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từ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3.920.000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lên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4.160.000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.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Vùng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III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tăng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210.000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đồng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từ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3.430.000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lên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3.640.000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.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Vùng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IV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tăng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180.000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đồng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từ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3.070.000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lên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3.250.000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tháng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Mức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lương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tối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thiểu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nêu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trên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tăng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bình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quân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6% (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tương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ứng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tăng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tư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̀ 180.000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- 260.000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) so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với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mức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lương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tối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thiểu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hiện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hành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lastRenderedPageBreak/>
        <w:t>Vê</w:t>
      </w:r>
      <w:proofErr w:type="spellEnd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mức</w:t>
      </w:r>
      <w:proofErr w:type="spellEnd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lương</w:t>
      </w:r>
      <w:proofErr w:type="spellEnd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tối</w:t>
      </w:r>
      <w:proofErr w:type="spellEnd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thiểu</w:t>
      </w:r>
      <w:proofErr w:type="spellEnd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giơ</w:t>
      </w:r>
      <w:proofErr w:type="spellEnd"/>
      <w:r>
        <w:rPr>
          <w:rFonts w:ascii="Times New Roman" w:eastAsia="Times New Roman" w:hAnsi="Times New Roman" w:cs="Times New Roman"/>
          <w:b/>
          <w:i/>
          <w:color w:val="565656"/>
          <w:sz w:val="29"/>
          <w:szCs w:val="29"/>
        </w:rPr>
        <w:t>̀</w:t>
      </w:r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</w:p>
    <w:p w:rsid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Nghị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cũng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định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các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mức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lương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tối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thiểu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̀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4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vùng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:</w:t>
      </w:r>
    </w:p>
    <w:p w:rsid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r>
        <w:rPr>
          <w:rFonts w:ascii="Times New Roman" w:eastAsia="Times New Roman" w:hAnsi="Times New Roman" w:cs="Times New Roman"/>
          <w:color w:val="565656"/>
          <w:sz w:val="29"/>
          <w:szCs w:val="29"/>
          <w:lang w:val="vi-VN"/>
        </w:rPr>
        <w:t>V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ùng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I là 22.500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̀, </w:t>
      </w:r>
    </w:p>
    <w:p w:rsid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r>
        <w:rPr>
          <w:rFonts w:ascii="Times New Roman" w:eastAsia="Times New Roman" w:hAnsi="Times New Roman" w:cs="Times New Roman"/>
          <w:color w:val="565656"/>
          <w:sz w:val="29"/>
          <w:szCs w:val="29"/>
          <w:lang w:val="vi-VN"/>
        </w:rPr>
        <w:t>V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ùng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II là 20.000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̀, </w:t>
      </w:r>
    </w:p>
    <w:p w:rsid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r>
        <w:rPr>
          <w:rFonts w:ascii="Times New Roman" w:eastAsia="Times New Roman" w:hAnsi="Times New Roman" w:cs="Times New Roman"/>
          <w:color w:val="565656"/>
          <w:sz w:val="29"/>
          <w:szCs w:val="29"/>
          <w:lang w:val="vi-VN"/>
        </w:rPr>
        <w:t>V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ùng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III là 17.500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̀,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r>
        <w:rPr>
          <w:rFonts w:ascii="Times New Roman" w:eastAsia="Times New Roman" w:hAnsi="Times New Roman" w:cs="Times New Roman"/>
          <w:color w:val="565656"/>
          <w:sz w:val="29"/>
          <w:szCs w:val="29"/>
          <w:lang w:val="vi-VN"/>
        </w:rPr>
        <w:t>V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ùng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IV là 15.600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đồng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/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̀.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áp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dụng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bàn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vùng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được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xác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nơi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hoạt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của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sử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dụng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Nghị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cũng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nêu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rõ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thấp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nhất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sở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để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thỏa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thuận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và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trả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với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áp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dụng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hình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trả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bảo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đảm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công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hoặc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chức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danh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của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đủ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giờ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bình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thường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trong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và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hoàn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thành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hoặc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công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đã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thỏa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thuận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không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được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thấp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hơn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giờ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thấp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nhất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cơ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sở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để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thỏa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thuận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và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trả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với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áp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dụng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hình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trả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giờ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,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bảo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đảm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công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hoặc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chức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danh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của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làm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trong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một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giờ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và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hoàn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thành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hoặc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công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việc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đã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thỏa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thuận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không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được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thấp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hơn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giờ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414338" w:rsidRPr="00414338" w:rsidRDefault="00414338" w:rsidP="00414338">
      <w:pPr>
        <w:shd w:val="clear" w:color="auto" w:fill="FFFFFF"/>
        <w:spacing w:before="315" w:after="315" w:line="390" w:lineRule="atLeast"/>
        <w:jc w:val="both"/>
        <w:rPr>
          <w:rFonts w:ascii="Times New Roman" w:eastAsia="Times New Roman" w:hAnsi="Times New Roman" w:cs="Times New Roman"/>
          <w:color w:val="565656"/>
          <w:sz w:val="29"/>
          <w:szCs w:val="29"/>
        </w:rPr>
      </w:pP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với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người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lao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động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áp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dụng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hình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trả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tuần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hoặc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ngày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hoặc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sản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phẩm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hoặc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khoán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thì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của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các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hình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trả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này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nếu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quy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đổi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hoặc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theo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giờ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không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được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thấp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hơn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hoặc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mức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lương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tối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thiểu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giờ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.</w:t>
      </w:r>
    </w:p>
    <w:p w:rsidR="00616B00" w:rsidRDefault="00414338" w:rsidP="00414338">
      <w:pPr>
        <w:shd w:val="clear" w:color="auto" w:fill="FFFFFF"/>
        <w:spacing w:before="315" w:after="315" w:line="390" w:lineRule="atLeast"/>
        <w:jc w:val="both"/>
      </w:pP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Nghị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định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trên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có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hiệu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lực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từ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</w:t>
      </w:r>
      <w:proofErr w:type="spellStart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>ngày</w:t>
      </w:r>
      <w:proofErr w:type="spellEnd"/>
      <w:r w:rsidRPr="00414338">
        <w:rPr>
          <w:rFonts w:ascii="Times New Roman" w:eastAsia="Times New Roman" w:hAnsi="Times New Roman" w:cs="Times New Roman"/>
          <w:color w:val="565656"/>
          <w:sz w:val="29"/>
          <w:szCs w:val="29"/>
        </w:rPr>
        <w:t xml:space="preserve"> 1/7/2022.</w:t>
      </w:r>
      <w:r>
        <w:t xml:space="preserve"> </w:t>
      </w:r>
    </w:p>
    <w:sectPr w:rsidR="0061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9482F"/>
    <w:multiLevelType w:val="multilevel"/>
    <w:tmpl w:val="E49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38"/>
    <w:rsid w:val="00414338"/>
    <w:rsid w:val="00616B00"/>
    <w:rsid w:val="00675ED0"/>
    <w:rsid w:val="00B0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A904"/>
  <w15:chartTrackingRefBased/>
  <w15:docId w15:val="{630A4E2E-3FE5-43AF-8A3C-0E9B0FA3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4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14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43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uthor">
    <w:name w:val="author"/>
    <w:basedOn w:val="Normal"/>
    <w:rsid w:val="0041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">
    <w:name w:val="time"/>
    <w:basedOn w:val="DefaultParagraphFont"/>
    <w:rsid w:val="00414338"/>
  </w:style>
  <w:style w:type="character" w:styleId="Hyperlink">
    <w:name w:val="Hyperlink"/>
    <w:basedOn w:val="DefaultParagraphFont"/>
    <w:uiPriority w:val="99"/>
    <w:semiHidden/>
    <w:unhideWhenUsed/>
    <w:rsid w:val="004143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6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2022-06-13T01:44:00Z</dcterms:created>
  <dcterms:modified xsi:type="dcterms:W3CDTF">2022-06-13T01:52:00Z</dcterms:modified>
</cp:coreProperties>
</file>