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58" w:rsidRPr="00E959C9" w:rsidRDefault="00990458" w:rsidP="009904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</w:pPr>
      <w:r w:rsidRPr="00990458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>SỰ KHÁC NHAU GIỮA CỔ PHIẾU VÀ TRÁI PHIẾU</w:t>
      </w:r>
    </w:p>
    <w:p w:rsidR="00990458" w:rsidRPr="00990458" w:rsidRDefault="00990458" w:rsidP="009904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</w:pPr>
      <w:r w:rsidRPr="00990458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>MỘT SỐ LƯU Ý KHI ĐẦU TƯ TRÁI PHIẾU</w:t>
      </w:r>
    </w:p>
    <w:p w:rsidR="00990458" w:rsidRPr="00E959C9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</w:pPr>
    </w:p>
    <w:p w:rsidR="00990458" w:rsidRPr="00990458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chắc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hẳn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xa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lạ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tới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loại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khoán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phổ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biến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 xml:space="preserve"> nay 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fldChar w:fldCharType="begin"/>
      </w:r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instrText xml:space="preserve"> HYPERLINK "https://ssi.com.vn/khach-hang-ca-nhan/tong-quan-ve-co-phieu" </w:instrText>
      </w:r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fldChar w:fldCharType="separate"/>
      </w:r>
      <w:r w:rsidRPr="00E959C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cổ</w:t>
      </w:r>
      <w:proofErr w:type="spellEnd"/>
      <w:r w:rsidRPr="00E959C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fldChar w:fldCharType="end"/>
      </w:r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proofErr w:type="spellStart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fldChar w:fldCharType="begin"/>
      </w:r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instrText xml:space="preserve"> HYPERLINK "http://www.ssi.com.vn/tin-tuc/tin-tuc-chung/trai-phieu-la-gi-cac-dac-diem-cua-trai-phieu-ma-ban-can-biet" </w:instrText>
      </w:r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fldChar w:fldCharType="separate"/>
      </w:r>
      <w:r w:rsidRPr="00E959C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trái</w:t>
      </w:r>
      <w:proofErr w:type="spellEnd"/>
      <w:r w:rsidRPr="00E959C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fldChar w:fldCharType="end"/>
      </w:r>
      <w:r w:rsidRPr="00990458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99045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Hầu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990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phải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tình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huống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phân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vân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biết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nên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lựa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chọn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“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” hay “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”.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Thực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tế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thị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trường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ghi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nhận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những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chỉ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những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người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chỉ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trung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thành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với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hay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những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trường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hợp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quyết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định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cả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hai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Vậy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hai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loại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“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chứng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”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này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gì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khác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nhau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những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tiêu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chí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nào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giúp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thể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dễ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dàng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phân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biệt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rõ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đâu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“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”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đâu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“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”?</w:t>
      </w:r>
    </w:p>
    <w:p w:rsidR="00990458" w:rsidRPr="00990458" w:rsidRDefault="00990458" w:rsidP="0099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 xml:space="preserve">1. </w:t>
      </w:r>
      <w:proofErr w:type="spellStart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Khái</w:t>
      </w:r>
      <w:proofErr w:type="spellEnd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niệm</w:t>
      </w:r>
      <w:proofErr w:type="spellEnd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cổ</w:t>
      </w:r>
      <w:proofErr w:type="spellEnd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- </w:t>
      </w:r>
      <w:proofErr w:type="spellStart"/>
      <w:r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T</w:t>
      </w:r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rái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</w:p>
    <w:p w:rsidR="00990458" w:rsidRPr="00990458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: 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chứng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khoán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xác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nợ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đơn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vị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phủ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nắm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giữ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hữu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(hay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còn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gọi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sẽ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chi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trả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khoản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tỷ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lệ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suất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phụ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tình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99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90458" w:rsidRPr="00990458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: 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loại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chứng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khoán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xác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nhận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quyền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sở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hữu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lợi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ích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người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nắm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giữ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đối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với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một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phần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vốn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phần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nghiệp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phát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hành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giống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các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thể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hưởng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tức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chia (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cố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định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)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phụ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thuộc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hoàn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toàn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tình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hình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kinh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nghiệp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.</w:t>
      </w:r>
    </w:p>
    <w:p w:rsidR="00990458" w:rsidRPr="00990458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 </w:t>
      </w:r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 xml:space="preserve">2. </w:t>
      </w:r>
      <w:proofErr w:type="spellStart"/>
      <w:r w:rsidR="00E959C9"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Phân</w:t>
      </w:r>
      <w:proofErr w:type="spellEnd"/>
      <w:r w:rsidR="00E959C9"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E959C9" w:rsidRPr="00E959C9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biệt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“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”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“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”</w:t>
      </w:r>
    </w:p>
    <w:p w:rsidR="00990458" w:rsidRPr="00E959C9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Nhìn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chung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cũng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sự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tương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đồng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với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nhau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về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nhiều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mặt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Trước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hết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cả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hai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loại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này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đều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con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đường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phát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hành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lựa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chọn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tung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nhằm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mục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đích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hút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vốn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thể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hiện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dưới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nhiều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hình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thức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chứng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chủ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dữ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liệu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điện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tử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hoặc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bút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toán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ghi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sổ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Ngoài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được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phép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chuyển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nhượng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mua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bán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cầm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cố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đối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với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cả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lẫn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cổ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. </w:t>
      </w:r>
    </w:p>
    <w:p w:rsidR="00E959C9" w:rsidRPr="00E959C9" w:rsidRDefault="00E959C9" w:rsidP="004B0D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</w:pPr>
      <w:proofErr w:type="spellStart"/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>Giống</w:t>
      </w:r>
      <w:proofErr w:type="spellEnd"/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>nhau</w:t>
      </w:r>
      <w:proofErr w:type="spellEnd"/>
    </w:p>
    <w:p w:rsidR="00E959C9" w:rsidRPr="00E959C9" w:rsidRDefault="00E959C9" w:rsidP="00E959C9">
      <w:pPr>
        <w:pStyle w:val="ladi-headline"/>
        <w:spacing w:before="0" w:beforeAutospacing="0" w:after="0" w:afterAutospacing="0"/>
        <w:jc w:val="both"/>
        <w:textAlignment w:val="baseline"/>
        <w:rPr>
          <w:color w:val="424242"/>
          <w:sz w:val="26"/>
          <w:szCs w:val="26"/>
        </w:rPr>
      </w:pPr>
      <w:proofErr w:type="spellStart"/>
      <w:r w:rsidRPr="00E959C9">
        <w:rPr>
          <w:color w:val="424242"/>
          <w:sz w:val="26"/>
          <w:szCs w:val="26"/>
        </w:rPr>
        <w:t>Là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hình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thức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chuyển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nhượng</w:t>
      </w:r>
      <w:proofErr w:type="spellEnd"/>
      <w:r w:rsidRPr="00E959C9">
        <w:rPr>
          <w:color w:val="424242"/>
          <w:sz w:val="26"/>
          <w:szCs w:val="26"/>
        </w:rPr>
        <w:t xml:space="preserve">, </w:t>
      </w:r>
      <w:proofErr w:type="spellStart"/>
      <w:r w:rsidRPr="00E959C9">
        <w:rPr>
          <w:color w:val="424242"/>
          <w:sz w:val="26"/>
          <w:szCs w:val="26"/>
        </w:rPr>
        <w:t>cầm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cố</w:t>
      </w:r>
      <w:proofErr w:type="spellEnd"/>
      <w:r w:rsidRPr="00E959C9">
        <w:rPr>
          <w:color w:val="424242"/>
          <w:sz w:val="26"/>
          <w:szCs w:val="26"/>
        </w:rPr>
        <w:t xml:space="preserve">, </w:t>
      </w:r>
      <w:proofErr w:type="spellStart"/>
      <w:r w:rsidRPr="00E959C9">
        <w:rPr>
          <w:color w:val="424242"/>
          <w:sz w:val="26"/>
          <w:szCs w:val="26"/>
        </w:rPr>
        <w:t>thế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chấp</w:t>
      </w:r>
      <w:proofErr w:type="spellEnd"/>
      <w:r w:rsidRPr="00E959C9">
        <w:rPr>
          <w:color w:val="424242"/>
          <w:sz w:val="26"/>
          <w:szCs w:val="26"/>
        </w:rPr>
        <w:t xml:space="preserve">, </w:t>
      </w:r>
      <w:proofErr w:type="spellStart"/>
      <w:r w:rsidRPr="00E959C9">
        <w:rPr>
          <w:color w:val="424242"/>
          <w:sz w:val="26"/>
          <w:szCs w:val="26"/>
        </w:rPr>
        <w:t>thừa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kế</w:t>
      </w:r>
      <w:proofErr w:type="spellEnd"/>
      <w:r w:rsidRPr="00E959C9">
        <w:rPr>
          <w:color w:val="424242"/>
          <w:sz w:val="26"/>
          <w:szCs w:val="26"/>
        </w:rPr>
        <w:t>;</w:t>
      </w:r>
    </w:p>
    <w:p w:rsidR="00E959C9" w:rsidRPr="00E959C9" w:rsidRDefault="00E959C9" w:rsidP="00E959C9">
      <w:pPr>
        <w:pStyle w:val="ladi-headline"/>
        <w:spacing w:before="0" w:beforeAutospacing="0" w:after="0" w:afterAutospacing="0"/>
        <w:jc w:val="both"/>
        <w:textAlignment w:val="baseline"/>
        <w:rPr>
          <w:color w:val="424242"/>
          <w:sz w:val="26"/>
          <w:szCs w:val="26"/>
        </w:rPr>
      </w:pPr>
      <w:proofErr w:type="spellStart"/>
      <w:r w:rsidRPr="00E959C9">
        <w:rPr>
          <w:color w:val="424242"/>
          <w:sz w:val="26"/>
          <w:szCs w:val="26"/>
        </w:rPr>
        <w:t>Đều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là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phương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tiện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huy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động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vốn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đối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với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công</w:t>
      </w:r>
      <w:proofErr w:type="spellEnd"/>
      <w:r w:rsidRPr="00E959C9">
        <w:rPr>
          <w:color w:val="424242"/>
          <w:sz w:val="26"/>
          <w:szCs w:val="26"/>
        </w:rPr>
        <w:t xml:space="preserve"> ty </w:t>
      </w:r>
      <w:proofErr w:type="spellStart"/>
      <w:r w:rsidRPr="00E959C9">
        <w:rPr>
          <w:color w:val="424242"/>
          <w:sz w:val="26"/>
          <w:szCs w:val="26"/>
        </w:rPr>
        <w:t>phát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hành</w:t>
      </w:r>
      <w:proofErr w:type="spellEnd"/>
      <w:r w:rsidRPr="00E959C9">
        <w:rPr>
          <w:color w:val="424242"/>
          <w:sz w:val="26"/>
          <w:szCs w:val="26"/>
        </w:rPr>
        <w:t>;</w:t>
      </w:r>
    </w:p>
    <w:p w:rsidR="00E959C9" w:rsidRPr="00E959C9" w:rsidRDefault="00E959C9" w:rsidP="00E959C9">
      <w:pPr>
        <w:pStyle w:val="ladi-headline"/>
        <w:spacing w:before="0" w:beforeAutospacing="0" w:after="0" w:afterAutospacing="0"/>
        <w:jc w:val="both"/>
        <w:textAlignment w:val="baseline"/>
        <w:rPr>
          <w:color w:val="424242"/>
          <w:sz w:val="26"/>
          <w:szCs w:val="26"/>
        </w:rPr>
      </w:pPr>
      <w:proofErr w:type="spellStart"/>
      <w:r w:rsidRPr="00E959C9">
        <w:rPr>
          <w:color w:val="424242"/>
          <w:sz w:val="26"/>
          <w:szCs w:val="26"/>
        </w:rPr>
        <w:t>Đều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là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công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cụ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đầu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tư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đối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với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nhà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đầu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tư</w:t>
      </w:r>
      <w:proofErr w:type="spellEnd"/>
      <w:r w:rsidRPr="00E959C9">
        <w:rPr>
          <w:color w:val="424242"/>
          <w:sz w:val="26"/>
          <w:szCs w:val="26"/>
        </w:rPr>
        <w:t>;</w:t>
      </w:r>
    </w:p>
    <w:p w:rsidR="00E959C9" w:rsidRPr="00E959C9" w:rsidRDefault="00E959C9" w:rsidP="00E959C9">
      <w:pPr>
        <w:pStyle w:val="ladi-headline"/>
        <w:spacing w:before="0" w:beforeAutospacing="0" w:after="0" w:afterAutospacing="0"/>
        <w:jc w:val="both"/>
        <w:textAlignment w:val="baseline"/>
        <w:rPr>
          <w:color w:val="424242"/>
          <w:sz w:val="26"/>
          <w:szCs w:val="26"/>
        </w:rPr>
      </w:pPr>
      <w:proofErr w:type="spellStart"/>
      <w:r w:rsidRPr="00E959C9">
        <w:rPr>
          <w:color w:val="424242"/>
          <w:sz w:val="26"/>
          <w:szCs w:val="26"/>
        </w:rPr>
        <w:t>Đều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được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hưởng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chênh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lệch</w:t>
      </w:r>
      <w:proofErr w:type="spellEnd"/>
      <w:r w:rsidRPr="00E959C9">
        <w:rPr>
          <w:color w:val="424242"/>
          <w:sz w:val="26"/>
          <w:szCs w:val="26"/>
        </w:rPr>
        <w:t xml:space="preserve"> </w:t>
      </w:r>
      <w:proofErr w:type="spellStart"/>
      <w:r w:rsidRPr="00E959C9">
        <w:rPr>
          <w:color w:val="424242"/>
          <w:sz w:val="26"/>
          <w:szCs w:val="26"/>
        </w:rPr>
        <w:t>giá</w:t>
      </w:r>
      <w:proofErr w:type="spellEnd"/>
      <w:r w:rsidRPr="00E959C9">
        <w:rPr>
          <w:color w:val="424242"/>
          <w:sz w:val="26"/>
          <w:szCs w:val="26"/>
        </w:rPr>
        <w:t>;</w:t>
      </w:r>
    </w:p>
    <w:p w:rsidR="00E959C9" w:rsidRPr="00E959C9" w:rsidRDefault="00E959C9" w:rsidP="004B0D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</w:pPr>
      <w:bookmarkStart w:id="0" w:name="_GoBack"/>
      <w:bookmarkEnd w:id="0"/>
      <w:proofErr w:type="spellStart"/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>Khác</w:t>
      </w:r>
      <w:proofErr w:type="spellEnd"/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 xml:space="preserve"> </w:t>
      </w:r>
      <w:proofErr w:type="spellStart"/>
      <w:r w:rsidRPr="00E959C9">
        <w:rPr>
          <w:rFonts w:ascii="Times New Roman" w:eastAsia="Times New Roman" w:hAnsi="Times New Roman" w:cs="Times New Roman"/>
          <w:b/>
          <w:color w:val="363636"/>
          <w:sz w:val="26"/>
          <w:szCs w:val="26"/>
        </w:rPr>
        <w:t>nhau</w:t>
      </w:r>
      <w:proofErr w:type="spellEnd"/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765"/>
        <w:gridCol w:w="5670"/>
      </w:tblGrid>
      <w:tr w:rsidR="00990458" w:rsidRPr="00E959C9" w:rsidTr="00E959C9">
        <w:tc>
          <w:tcPr>
            <w:tcW w:w="4765" w:type="dxa"/>
          </w:tcPr>
          <w:p w:rsidR="00990458" w:rsidRPr="00E959C9" w:rsidRDefault="00990458" w:rsidP="00990458">
            <w:pPr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r w:rsidRPr="00E959C9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CỔ PHIẾU </w:t>
            </w:r>
          </w:p>
        </w:tc>
        <w:tc>
          <w:tcPr>
            <w:tcW w:w="5670" w:type="dxa"/>
          </w:tcPr>
          <w:p w:rsidR="00990458" w:rsidRPr="00E959C9" w:rsidRDefault="00990458" w:rsidP="00990458">
            <w:pPr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r w:rsidRPr="00E959C9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TRÁI PHIẾU</w:t>
            </w:r>
          </w:p>
        </w:tc>
      </w:tr>
      <w:tr w:rsidR="00E959C9" w:rsidRPr="00E959C9" w:rsidTr="00E959C9">
        <w:tc>
          <w:tcPr>
            <w:tcW w:w="4765" w:type="dxa"/>
          </w:tcPr>
          <w:p w:rsidR="00E959C9" w:rsidRPr="00E959C9" w:rsidRDefault="00E959C9" w:rsidP="00E959C9">
            <w:pPr>
              <w:pStyle w:val="ladi-paragraph"/>
              <w:spacing w:after="0"/>
              <w:textAlignment w:val="baseline"/>
              <w:rPr>
                <w:color w:val="000000"/>
                <w:sz w:val="26"/>
                <w:szCs w:val="26"/>
              </w:rPr>
            </w:pPr>
            <w:r w:rsidRPr="00E959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góp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vốn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hữu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cổ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đông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lãi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gắn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liền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tồn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ty</w:t>
            </w:r>
            <w:r w:rsidRPr="00E959C9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rủi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ro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rút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vốn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> </w:t>
            </w:r>
            <w:r w:rsidRPr="00E959C9">
              <w:rPr>
                <w:color w:val="000000"/>
                <w:sz w:val="26"/>
                <w:szCs w:val="26"/>
              </w:rPr>
              <w:br/>
              <w:t xml:space="preserve">- Do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cổ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đổi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Cổ</w:t>
            </w:r>
            <w:proofErr w:type="spellEnd"/>
            <w:r w:rsidRPr="00E95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color w:val="000000"/>
                <w:sz w:val="26"/>
                <w:szCs w:val="26"/>
              </w:rPr>
              <w:t>phiếu</w:t>
            </w:r>
            <w:proofErr w:type="spellEnd"/>
          </w:p>
        </w:tc>
        <w:tc>
          <w:tcPr>
            <w:tcW w:w="5670" w:type="dxa"/>
          </w:tcPr>
          <w:p w:rsidR="00E959C9" w:rsidRPr="00E959C9" w:rsidRDefault="00E959C9" w:rsidP="00E95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quyền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tham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ty</w:t>
            </w:r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kì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ít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rủi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rủi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- Do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phủ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9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</w:p>
        </w:tc>
      </w:tr>
    </w:tbl>
    <w:p w:rsidR="00990458" w:rsidRPr="00990458" w:rsidRDefault="00250535" w:rsidP="00E959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3.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Những</w:t>
      </w:r>
      <w:proofErr w:type="spellEnd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lưu</w:t>
      </w:r>
      <w:proofErr w:type="spellEnd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ý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khi</w:t>
      </w:r>
      <w:proofErr w:type="spellEnd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đầu</w:t>
      </w:r>
      <w:proofErr w:type="spellEnd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tư</w:t>
      </w:r>
      <w:proofErr w:type="spellEnd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trái</w:t>
      </w:r>
      <w:proofErr w:type="spellEnd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990458" w:rsidRPr="00990458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phiếu</w:t>
      </w:r>
      <w:proofErr w:type="spellEnd"/>
    </w:p>
    <w:p w:rsidR="00990458" w:rsidRPr="00990458" w:rsidRDefault="00990458" w:rsidP="0099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Tuy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mức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độ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rủi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cao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nhưng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các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vẫn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tuyệt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đối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phải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nắm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chắc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các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tin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sau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đây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để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việc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lựa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chọn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sai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trong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quá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trình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đem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thiệt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về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mặt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giá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trị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tài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sản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.</w:t>
      </w:r>
    </w:p>
    <w:p w:rsidR="00AC043A" w:rsidRPr="00E959C9" w:rsidRDefault="00990458" w:rsidP="00E95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Đối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với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nghiệp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nhà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đầu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nên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tìm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hiểu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rõ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các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tin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cơ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bản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bao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gồm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đơn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vị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phát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hành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loại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hình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mục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đích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phát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hành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điều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khoản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chuyển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đổi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lợi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tức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/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hạn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trả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lãi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trước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đưa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ra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quyết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định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nên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mua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trái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phiếu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doanh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nghiệp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đó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hay </w:t>
      </w:r>
      <w:proofErr w:type="spellStart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không</w:t>
      </w:r>
      <w:proofErr w:type="spellEnd"/>
      <w:r w:rsidRPr="00990458">
        <w:rPr>
          <w:rFonts w:ascii="Times New Roman" w:eastAsia="Times New Roman" w:hAnsi="Times New Roman" w:cs="Times New Roman"/>
          <w:color w:val="363636"/>
          <w:sz w:val="26"/>
          <w:szCs w:val="26"/>
        </w:rPr>
        <w:t>. </w:t>
      </w:r>
    </w:p>
    <w:sectPr w:rsidR="00AC043A" w:rsidRPr="00E959C9" w:rsidSect="00E959C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58"/>
    <w:rsid w:val="00250535"/>
    <w:rsid w:val="004B0DF2"/>
    <w:rsid w:val="00990458"/>
    <w:rsid w:val="00AC043A"/>
    <w:rsid w:val="00E9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A8FA"/>
  <w15:chartTrackingRefBased/>
  <w15:docId w15:val="{BAD912D6-FA47-4CF8-9A7B-5D6BABD7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0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0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04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04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0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458"/>
    <w:pPr>
      <w:ind w:left="720"/>
      <w:contextualSpacing/>
    </w:pPr>
  </w:style>
  <w:style w:type="table" w:styleId="TableGrid">
    <w:name w:val="Table Grid"/>
    <w:basedOn w:val="TableNormal"/>
    <w:uiPriority w:val="39"/>
    <w:rsid w:val="009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adi-headline">
    <w:name w:val="ladi-headline"/>
    <w:basedOn w:val="Normal"/>
    <w:rsid w:val="00E9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di-paragraph">
    <w:name w:val="ladi-paragraph"/>
    <w:basedOn w:val="Normal"/>
    <w:rsid w:val="00E9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5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6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2022-12-16T17:01:00Z</dcterms:created>
  <dcterms:modified xsi:type="dcterms:W3CDTF">2022-12-16T17:01:00Z</dcterms:modified>
</cp:coreProperties>
</file>