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FBFD" w14:textId="5803CD44" w:rsidR="000D1E5D" w:rsidRPr="000D1E5D" w:rsidRDefault="000D1E5D" w:rsidP="000D1E5D">
      <w:pPr>
        <w:pStyle w:val="Heading1"/>
        <w:spacing w:before="0" w:beforeAutospacing="0" w:after="0" w:afterAutospacing="0" w:line="360" w:lineRule="auto"/>
        <w:jc w:val="center"/>
        <w:rPr>
          <w:sz w:val="32"/>
          <w:szCs w:val="32"/>
        </w:rPr>
      </w:pPr>
      <w:proofErr w:type="spellStart"/>
      <w:r w:rsidRPr="000D1E5D">
        <w:rPr>
          <w:sz w:val="32"/>
          <w:szCs w:val="32"/>
          <w:lang w:val="en-US"/>
        </w:rPr>
        <w:t>Trao</w:t>
      </w:r>
      <w:proofErr w:type="spellEnd"/>
      <w:r w:rsidRPr="000D1E5D">
        <w:rPr>
          <w:sz w:val="32"/>
          <w:szCs w:val="32"/>
          <w:lang w:val="en-US"/>
        </w:rPr>
        <w:t xml:space="preserve"> </w:t>
      </w:r>
      <w:proofErr w:type="spellStart"/>
      <w:r w:rsidRPr="000D1E5D">
        <w:rPr>
          <w:sz w:val="32"/>
          <w:szCs w:val="32"/>
          <w:lang w:val="en-US"/>
        </w:rPr>
        <w:t>Đổi</w:t>
      </w:r>
      <w:proofErr w:type="spellEnd"/>
      <w:r w:rsidRPr="000D1E5D">
        <w:rPr>
          <w:sz w:val="32"/>
          <w:szCs w:val="32"/>
          <w:lang w:val="en-US"/>
        </w:rPr>
        <w:t xml:space="preserve"> </w:t>
      </w:r>
      <w:proofErr w:type="spellStart"/>
      <w:r w:rsidRPr="000D1E5D">
        <w:rPr>
          <w:sz w:val="32"/>
          <w:szCs w:val="32"/>
          <w:lang w:val="en-US"/>
        </w:rPr>
        <w:t>Về</w:t>
      </w:r>
      <w:proofErr w:type="spellEnd"/>
      <w:r w:rsidRPr="000D1E5D">
        <w:rPr>
          <w:sz w:val="32"/>
          <w:szCs w:val="32"/>
          <w:lang w:val="en-US"/>
        </w:rPr>
        <w:t xml:space="preserve"> </w:t>
      </w:r>
      <w:proofErr w:type="spellStart"/>
      <w:r w:rsidRPr="000D1E5D">
        <w:rPr>
          <w:sz w:val="32"/>
          <w:szCs w:val="32"/>
          <w:lang w:val="en-US"/>
        </w:rPr>
        <w:t>Tiêu</w:t>
      </w:r>
      <w:proofErr w:type="spellEnd"/>
      <w:r w:rsidRPr="000D1E5D">
        <w:rPr>
          <w:sz w:val="32"/>
          <w:szCs w:val="32"/>
          <w:lang w:val="en-US"/>
        </w:rPr>
        <w:t xml:space="preserve"> </w:t>
      </w:r>
      <w:proofErr w:type="spellStart"/>
      <w:r w:rsidRPr="000D1E5D">
        <w:rPr>
          <w:sz w:val="32"/>
          <w:szCs w:val="32"/>
          <w:lang w:val="en-US"/>
        </w:rPr>
        <w:t>Chí</w:t>
      </w:r>
      <w:proofErr w:type="spellEnd"/>
      <w:r w:rsidRPr="000D1E5D">
        <w:rPr>
          <w:sz w:val="32"/>
          <w:szCs w:val="32"/>
        </w:rPr>
        <w:t xml:space="preserve"> Miễn Thuế Giá Trị Gia Tăng Đối Với Hộ, Cá Nhân Kinh Doanh Doanh Thu Thấp</w:t>
      </w:r>
    </w:p>
    <w:p w14:paraId="24E69E98" w14:textId="583E396B" w:rsidR="000D1E5D" w:rsidRPr="000D1E5D" w:rsidRDefault="000D1E5D" w:rsidP="000D1E5D">
      <w:pPr>
        <w:pStyle w:val="Heading1"/>
        <w:spacing w:before="0" w:beforeAutospacing="0" w:after="0" w:afterAutospacing="0" w:line="360" w:lineRule="auto"/>
        <w:jc w:val="right"/>
        <w:rPr>
          <w:i/>
          <w:iCs/>
          <w:sz w:val="28"/>
          <w:szCs w:val="28"/>
          <w:lang w:val="en-US"/>
        </w:rPr>
      </w:pPr>
      <w:proofErr w:type="spellStart"/>
      <w:r w:rsidRPr="000D1E5D">
        <w:rPr>
          <w:i/>
          <w:iCs/>
          <w:sz w:val="28"/>
          <w:szCs w:val="28"/>
          <w:lang w:val="en-US"/>
        </w:rPr>
        <w:t>Nguyễn</w:t>
      </w:r>
      <w:proofErr w:type="spellEnd"/>
      <w:r w:rsidRPr="000D1E5D">
        <w:rPr>
          <w:i/>
          <w:iCs/>
          <w:sz w:val="28"/>
          <w:szCs w:val="28"/>
          <w:lang w:val="en-US"/>
        </w:rPr>
        <w:t xml:space="preserve"> </w:t>
      </w:r>
      <w:proofErr w:type="spellStart"/>
      <w:r w:rsidRPr="000D1E5D">
        <w:rPr>
          <w:i/>
          <w:iCs/>
          <w:sz w:val="28"/>
          <w:szCs w:val="28"/>
          <w:lang w:val="en-US"/>
        </w:rPr>
        <w:t>Khánh</w:t>
      </w:r>
      <w:proofErr w:type="spellEnd"/>
      <w:r w:rsidRPr="000D1E5D">
        <w:rPr>
          <w:i/>
          <w:iCs/>
          <w:sz w:val="28"/>
          <w:szCs w:val="28"/>
          <w:lang w:val="en-US"/>
        </w:rPr>
        <w:t xml:space="preserve"> Thu </w:t>
      </w:r>
      <w:proofErr w:type="spellStart"/>
      <w:r w:rsidRPr="000D1E5D">
        <w:rPr>
          <w:i/>
          <w:iCs/>
          <w:sz w:val="28"/>
          <w:szCs w:val="28"/>
          <w:lang w:val="en-US"/>
        </w:rPr>
        <w:t>Hằng</w:t>
      </w:r>
      <w:proofErr w:type="spellEnd"/>
    </w:p>
    <w:p w14:paraId="2F67CF16" w14:textId="0AC5E0C1" w:rsidR="000D1E5D" w:rsidRPr="00B055C9" w:rsidRDefault="00B055C9" w:rsidP="000D1E5D">
      <w:pPr>
        <w:pStyle w:val="Heading2"/>
        <w:spacing w:before="0" w:beforeAutospacing="0" w:after="0" w:afterAutospacing="0" w:line="360" w:lineRule="auto"/>
        <w:jc w:val="both"/>
        <w:rPr>
          <w:sz w:val="28"/>
          <w:szCs w:val="28"/>
          <w:lang w:val="en-US"/>
        </w:rPr>
      </w:pPr>
      <w:proofErr w:type="spellStart"/>
      <w:r>
        <w:rPr>
          <w:sz w:val="28"/>
          <w:szCs w:val="28"/>
          <w:lang w:val="en-US"/>
        </w:rPr>
        <w:t>Tóm</w:t>
      </w:r>
      <w:proofErr w:type="spellEnd"/>
      <w:r>
        <w:rPr>
          <w:sz w:val="28"/>
          <w:szCs w:val="28"/>
          <w:lang w:val="en-US"/>
        </w:rPr>
        <w:t xml:space="preserve"> </w:t>
      </w:r>
      <w:proofErr w:type="spellStart"/>
      <w:r>
        <w:rPr>
          <w:sz w:val="28"/>
          <w:szCs w:val="28"/>
          <w:lang w:val="en-US"/>
        </w:rPr>
        <w:t>Tắt</w:t>
      </w:r>
      <w:proofErr w:type="spellEnd"/>
    </w:p>
    <w:p w14:paraId="1EFD01AC" w14:textId="034064D0" w:rsidR="000D1E5D" w:rsidRDefault="000D1E5D" w:rsidP="00B055C9">
      <w:pPr>
        <w:pStyle w:val="NormalWeb"/>
        <w:spacing w:before="0" w:beforeAutospacing="0" w:after="0" w:afterAutospacing="0" w:line="360" w:lineRule="auto"/>
        <w:ind w:firstLine="720"/>
        <w:jc w:val="both"/>
        <w:rPr>
          <w:sz w:val="28"/>
          <w:szCs w:val="28"/>
        </w:rPr>
      </w:pPr>
      <w:r w:rsidRPr="000D1E5D">
        <w:rPr>
          <w:sz w:val="28"/>
          <w:szCs w:val="28"/>
        </w:rPr>
        <w:t>Trong bối cảnh nền kinh tế Việt Nam đang từng bước phục hồi và phát triển sau những biến động toàn cầu, chính sách thuế đóng vai trò quan trọng trong việc hỗ trợ các doanh nghiệp, đặc biệt là các hộ và cá nhân kinh doanh quy mô nhỏ. Từ ngày 1/7/2025, Luật Thuế Giá Trị Gia Tăng (GTGT) sửa đổi sẽ chính thức có hiệu lực, mang đến nhiều thay đổi nhằm tăng cường tính minh bạch và công bằng trong hệ thống thuế. Một trong những nội dung nổi bật là quy định miễn thuế GTGT cho hộ và cá nhân kinh doanh có doanh thu thấp, cụ thể là từ 200 triệu đồng trở xuống mỗi năm. Việc làm rõ các tiêu chí này không chỉ giúp thống nhất cách áp dụng chính sách mà còn tạo điều kiện thuận lợi cho các đối tượng kinh doanh nhỏ, góp phần thúc đẩy hoạt động sản xuất và kinh doanh trong nước.</w:t>
      </w:r>
      <w:r w:rsidR="00B055C9">
        <w:rPr>
          <w:sz w:val="28"/>
          <w:szCs w:val="28"/>
          <w:lang w:val="en-US"/>
        </w:rPr>
        <w:t xml:space="preserve"> </w:t>
      </w:r>
      <w:r w:rsidRPr="000D1E5D">
        <w:rPr>
          <w:sz w:val="28"/>
          <w:szCs w:val="28"/>
        </w:rPr>
        <w:t>Bài viết này sẽ phân tích chi tiết các quy định liên quan đến miễn thuế GTGT, cách xác định doanh thu, và ý nghĩa của các quy định này đối với cả người nộp thuế và cơ quan quản lý thuế. Đồng thời, bài viết cũng sẽ làm rõ tầm quan trọng của việc ban hành các văn bản hướng dẫn cụ thể để đảm bảo tính thực thi hiệu quả của chính sách.</w:t>
      </w:r>
    </w:p>
    <w:p w14:paraId="58683223" w14:textId="77777777" w:rsidR="00B055C9" w:rsidRDefault="00B055C9" w:rsidP="00B055C9">
      <w:pPr>
        <w:pStyle w:val="NormalWeb"/>
        <w:spacing w:before="0" w:beforeAutospacing="0" w:after="0" w:afterAutospacing="0" w:line="360" w:lineRule="auto"/>
        <w:ind w:firstLine="720"/>
        <w:jc w:val="both"/>
        <w:rPr>
          <w:sz w:val="28"/>
          <w:szCs w:val="28"/>
        </w:rPr>
      </w:pPr>
    </w:p>
    <w:p w14:paraId="73F191F8" w14:textId="305859DC" w:rsidR="00B055C9" w:rsidRDefault="00B055C9" w:rsidP="00B055C9">
      <w:pPr>
        <w:pStyle w:val="NormalWeb"/>
        <w:spacing w:before="0" w:beforeAutospacing="0" w:after="0" w:afterAutospacing="0" w:line="360" w:lineRule="auto"/>
        <w:ind w:firstLine="720"/>
        <w:jc w:val="both"/>
        <w:rPr>
          <w:i/>
          <w:iCs/>
          <w:sz w:val="28"/>
          <w:szCs w:val="28"/>
          <w:lang w:val="en-US"/>
        </w:rPr>
      </w:pPr>
      <w:proofErr w:type="spellStart"/>
      <w:r>
        <w:rPr>
          <w:i/>
          <w:iCs/>
          <w:sz w:val="28"/>
          <w:szCs w:val="28"/>
          <w:lang w:val="en-US"/>
        </w:rPr>
        <w:t>Từ</w:t>
      </w:r>
      <w:proofErr w:type="spellEnd"/>
      <w:r>
        <w:rPr>
          <w:i/>
          <w:iCs/>
          <w:sz w:val="28"/>
          <w:szCs w:val="28"/>
          <w:lang w:val="en-US"/>
        </w:rPr>
        <w:t xml:space="preserve"> </w:t>
      </w:r>
      <w:proofErr w:type="spellStart"/>
      <w:r>
        <w:rPr>
          <w:i/>
          <w:iCs/>
          <w:sz w:val="28"/>
          <w:szCs w:val="28"/>
          <w:lang w:val="en-US"/>
        </w:rPr>
        <w:t>khoá</w:t>
      </w:r>
      <w:proofErr w:type="spellEnd"/>
      <w:r>
        <w:rPr>
          <w:i/>
          <w:iCs/>
          <w:sz w:val="28"/>
          <w:szCs w:val="28"/>
          <w:lang w:val="en-US"/>
        </w:rPr>
        <w:t xml:space="preserve">: </w:t>
      </w:r>
      <w:proofErr w:type="spellStart"/>
      <w:r>
        <w:rPr>
          <w:i/>
          <w:iCs/>
          <w:sz w:val="28"/>
          <w:szCs w:val="28"/>
          <w:lang w:val="en-US"/>
        </w:rPr>
        <w:t>Luật</w:t>
      </w:r>
      <w:proofErr w:type="spellEnd"/>
      <w:r>
        <w:rPr>
          <w:i/>
          <w:iCs/>
          <w:sz w:val="28"/>
          <w:szCs w:val="28"/>
          <w:lang w:val="en-US"/>
        </w:rPr>
        <w:t xml:space="preserve"> </w:t>
      </w:r>
      <w:proofErr w:type="spellStart"/>
      <w:r>
        <w:rPr>
          <w:i/>
          <w:iCs/>
          <w:sz w:val="28"/>
          <w:szCs w:val="28"/>
          <w:lang w:val="en-US"/>
        </w:rPr>
        <w:t>thuế</w:t>
      </w:r>
      <w:proofErr w:type="spellEnd"/>
      <w:r>
        <w:rPr>
          <w:i/>
          <w:iCs/>
          <w:sz w:val="28"/>
          <w:szCs w:val="28"/>
          <w:lang w:val="en-US"/>
        </w:rPr>
        <w:t xml:space="preserve"> GTGT, …</w:t>
      </w:r>
    </w:p>
    <w:p w14:paraId="487C220A" w14:textId="77777777" w:rsidR="00B055C9" w:rsidRPr="00B055C9" w:rsidRDefault="00B055C9" w:rsidP="00B055C9">
      <w:pPr>
        <w:pStyle w:val="NormalWeb"/>
        <w:spacing w:before="0" w:beforeAutospacing="0" w:after="0" w:afterAutospacing="0" w:line="360" w:lineRule="auto"/>
        <w:ind w:firstLine="720"/>
        <w:jc w:val="both"/>
        <w:rPr>
          <w:i/>
          <w:iCs/>
          <w:sz w:val="28"/>
          <w:szCs w:val="28"/>
          <w:lang w:val="en-US"/>
        </w:rPr>
      </w:pPr>
    </w:p>
    <w:p w14:paraId="0BCC49CF" w14:textId="77777777" w:rsidR="000D1E5D" w:rsidRPr="00B055C9" w:rsidRDefault="000D1E5D" w:rsidP="000D1E5D">
      <w:pPr>
        <w:pStyle w:val="Heading3"/>
        <w:spacing w:before="0" w:line="360" w:lineRule="auto"/>
        <w:jc w:val="both"/>
        <w:rPr>
          <w:rFonts w:ascii="Times New Roman" w:hAnsi="Times New Roman" w:cs="Times New Roman"/>
          <w:b/>
          <w:bCs/>
          <w:color w:val="000000" w:themeColor="text1"/>
          <w:sz w:val="28"/>
          <w:szCs w:val="28"/>
        </w:rPr>
      </w:pPr>
      <w:r w:rsidRPr="00B055C9">
        <w:rPr>
          <w:rFonts w:ascii="Times New Roman" w:hAnsi="Times New Roman" w:cs="Times New Roman"/>
          <w:b/>
          <w:bCs/>
          <w:color w:val="000000" w:themeColor="text1"/>
          <w:sz w:val="28"/>
          <w:szCs w:val="28"/>
        </w:rPr>
        <w:t>Quy định miễn thuế GTGT theo Luật Thuế GTGT</w:t>
      </w:r>
    </w:p>
    <w:p w14:paraId="3738495D" w14:textId="77777777" w:rsidR="000D1E5D" w:rsidRPr="000D1E5D" w:rsidRDefault="000D1E5D" w:rsidP="00B055C9">
      <w:pPr>
        <w:pStyle w:val="NormalWeb"/>
        <w:spacing w:before="0" w:beforeAutospacing="0" w:after="0" w:afterAutospacing="0" w:line="360" w:lineRule="auto"/>
        <w:ind w:firstLine="720"/>
        <w:jc w:val="both"/>
        <w:rPr>
          <w:sz w:val="28"/>
          <w:szCs w:val="28"/>
        </w:rPr>
      </w:pPr>
      <w:r w:rsidRPr="000D1E5D">
        <w:rPr>
          <w:sz w:val="28"/>
          <w:szCs w:val="28"/>
        </w:rPr>
        <w:t xml:space="preserve">Theo Khoản 25, Điều 5 của Luật Thuế GTGT, hàng hóa và dịch vụ do hộ, cá nhân sản xuất, kinh doanh có doanh thu hằng năm từ 200 triệu đồng trở xuống sẽ được miễn thuế GTGT. Ngưỡng doanh thu này được xem là một biện pháp hỗ trợ thiết thực, giúp giảm gánh nặng thuế cho các đối tượng kinh doanh quy mô </w:t>
      </w:r>
      <w:r w:rsidRPr="000D1E5D">
        <w:rPr>
          <w:sz w:val="28"/>
          <w:szCs w:val="28"/>
        </w:rPr>
        <w:lastRenderedPageBreak/>
        <w:t>nhỏ, chẳng hạn như các hộ gia đình buôn bán nhỏ lẻ, các cá nhân kinh doanh tự do, hoặc các tiểu thương tại chợ truyền thống.</w:t>
      </w:r>
    </w:p>
    <w:p w14:paraId="24328180" w14:textId="00BBFC7B" w:rsidR="000D1E5D" w:rsidRPr="000D1E5D" w:rsidRDefault="000D1E5D" w:rsidP="00B055C9">
      <w:pPr>
        <w:pStyle w:val="NormalWeb"/>
        <w:spacing w:before="0" w:beforeAutospacing="0" w:after="0" w:afterAutospacing="0" w:line="360" w:lineRule="auto"/>
        <w:ind w:firstLine="360"/>
        <w:jc w:val="both"/>
        <w:rPr>
          <w:sz w:val="28"/>
          <w:szCs w:val="28"/>
        </w:rPr>
      </w:pPr>
      <w:r w:rsidRPr="000D1E5D">
        <w:rPr>
          <w:sz w:val="28"/>
          <w:szCs w:val="28"/>
        </w:rPr>
        <w:t>Ngoài ra, Luật Thuế GTGT cũng quy định một số trường hợp khác thuộc diện miễn thuế, bao gồm:</w:t>
      </w:r>
      <w:r w:rsidR="00B055C9">
        <w:rPr>
          <w:sz w:val="28"/>
          <w:szCs w:val="28"/>
          <w:lang w:val="en-US"/>
        </w:rPr>
        <w:t xml:space="preserve"> </w:t>
      </w:r>
      <w:r w:rsidRPr="000D1E5D">
        <w:rPr>
          <w:sz w:val="28"/>
          <w:szCs w:val="28"/>
        </w:rPr>
        <w:t>Tài sản của tổ chức, cá nhân không kinh doanh và không phải là người nộp thuế GTGT bán ra</w:t>
      </w:r>
      <w:r w:rsidR="00B055C9">
        <w:rPr>
          <w:sz w:val="28"/>
          <w:szCs w:val="28"/>
          <w:lang w:val="en-US"/>
        </w:rPr>
        <w:t xml:space="preserve">; </w:t>
      </w:r>
      <w:r w:rsidRPr="000D1E5D">
        <w:rPr>
          <w:sz w:val="28"/>
          <w:szCs w:val="28"/>
        </w:rPr>
        <w:t>Hàng dự trữ quốc gia do cơ quan có thẩm quyền bán ra</w:t>
      </w:r>
      <w:r w:rsidR="00B055C9">
        <w:rPr>
          <w:sz w:val="28"/>
          <w:szCs w:val="28"/>
          <w:lang w:val="en-US"/>
        </w:rPr>
        <w:t xml:space="preserve">; </w:t>
      </w:r>
      <w:r w:rsidRPr="000D1E5D">
        <w:rPr>
          <w:sz w:val="28"/>
          <w:szCs w:val="28"/>
        </w:rPr>
        <w:t>Các khoản thu phí, lệ phí được thực hiện theo quy định của pháp luật về phí và lệ phí.</w:t>
      </w:r>
    </w:p>
    <w:p w14:paraId="409EDF92" w14:textId="77777777" w:rsidR="000D1E5D" w:rsidRPr="000D1E5D" w:rsidRDefault="000D1E5D" w:rsidP="00B055C9">
      <w:pPr>
        <w:pStyle w:val="NormalWeb"/>
        <w:spacing w:before="0" w:beforeAutospacing="0" w:after="0" w:afterAutospacing="0" w:line="360" w:lineRule="auto"/>
        <w:ind w:firstLine="360"/>
        <w:jc w:val="both"/>
        <w:rPr>
          <w:sz w:val="28"/>
          <w:szCs w:val="28"/>
        </w:rPr>
      </w:pPr>
      <w:r w:rsidRPr="000D1E5D">
        <w:rPr>
          <w:sz w:val="28"/>
          <w:szCs w:val="28"/>
        </w:rPr>
        <w:t>Những quy định này phản ánh nỗ lực của Chính phủ trong việc xây dựng một hệ thống thuế công bằng, đồng thời đảm bảo nguồn thu ngân sách nhà nước được duy trì ổn định.</w:t>
      </w:r>
    </w:p>
    <w:p w14:paraId="29F3B63D" w14:textId="77777777" w:rsidR="000D1E5D" w:rsidRPr="00B055C9" w:rsidRDefault="000D1E5D" w:rsidP="000D1E5D">
      <w:pPr>
        <w:pStyle w:val="Heading3"/>
        <w:spacing w:before="0" w:line="360" w:lineRule="auto"/>
        <w:jc w:val="both"/>
        <w:rPr>
          <w:rFonts w:ascii="Times New Roman" w:hAnsi="Times New Roman" w:cs="Times New Roman"/>
          <w:b/>
          <w:bCs/>
          <w:color w:val="000000" w:themeColor="text1"/>
          <w:sz w:val="28"/>
          <w:szCs w:val="28"/>
        </w:rPr>
      </w:pPr>
      <w:r w:rsidRPr="00B055C9">
        <w:rPr>
          <w:rFonts w:ascii="Times New Roman" w:hAnsi="Times New Roman" w:cs="Times New Roman"/>
          <w:b/>
          <w:bCs/>
          <w:color w:val="000000" w:themeColor="text1"/>
          <w:sz w:val="28"/>
          <w:szCs w:val="28"/>
        </w:rPr>
        <w:t>Cách xác định doanh thu theo quy định hiện hành</w:t>
      </w:r>
    </w:p>
    <w:p w14:paraId="12420AC1" w14:textId="62EBFA46" w:rsidR="000D1E5D" w:rsidRPr="000D1E5D" w:rsidRDefault="000D1E5D" w:rsidP="00B055C9">
      <w:pPr>
        <w:pStyle w:val="NormalWeb"/>
        <w:spacing w:before="0" w:beforeAutospacing="0" w:after="0" w:afterAutospacing="0" w:line="360" w:lineRule="auto"/>
        <w:ind w:firstLine="360"/>
        <w:jc w:val="both"/>
        <w:rPr>
          <w:sz w:val="28"/>
          <w:szCs w:val="28"/>
        </w:rPr>
      </w:pPr>
      <w:r w:rsidRPr="000D1E5D">
        <w:rPr>
          <w:sz w:val="28"/>
          <w:szCs w:val="28"/>
        </w:rPr>
        <w:t>Để triển khai hiệu quả quy định miễn thuế, việc xác định doanh thu một cách chính xác và minh bạch là yếu tố then chốt. Thông tư số 40/2021/TT-BTC của Bộ Tài chính đã đưa ra hướng dẫn chi tiết về cách tính doanh thu chịu thuế GTGT và thuế thu nhập cá nhân (TNCN) đối với hộ và cá nhân kinh doanh. Cụ thể, doanh thu được xác định bao gồm:</w:t>
      </w:r>
      <w:r w:rsidR="00B055C9">
        <w:rPr>
          <w:sz w:val="28"/>
          <w:szCs w:val="28"/>
          <w:lang w:val="en-US"/>
        </w:rPr>
        <w:t xml:space="preserve"> </w:t>
      </w:r>
      <w:r w:rsidRPr="000D1E5D">
        <w:rPr>
          <w:sz w:val="28"/>
          <w:szCs w:val="28"/>
        </w:rPr>
        <w:t>Toàn bộ tiền thu từ việc bán hàng hóa hoặc cung ứng dịch vụ</w:t>
      </w:r>
      <w:r w:rsidR="00B055C9">
        <w:rPr>
          <w:sz w:val="28"/>
          <w:szCs w:val="28"/>
          <w:lang w:val="en-US"/>
        </w:rPr>
        <w:t xml:space="preserve">; </w:t>
      </w:r>
      <w:r w:rsidRPr="000D1E5D">
        <w:rPr>
          <w:sz w:val="28"/>
          <w:szCs w:val="28"/>
        </w:rPr>
        <w:t>Các khoản thưởng, hỗ trợ, chiết khấu thương mại, phụ thu, phụ trội</w:t>
      </w:r>
      <w:r w:rsidR="00B055C9">
        <w:rPr>
          <w:sz w:val="28"/>
          <w:szCs w:val="28"/>
          <w:lang w:val="en-US"/>
        </w:rPr>
        <w:t xml:space="preserve">; </w:t>
      </w:r>
      <w:r w:rsidRPr="000D1E5D">
        <w:rPr>
          <w:sz w:val="28"/>
          <w:szCs w:val="28"/>
        </w:rPr>
        <w:t>Các khoản bồi thường mà hộ, cá nhân kinh doanh được hưởng trong kỳ tính thuế.</w:t>
      </w:r>
    </w:p>
    <w:p w14:paraId="0AA351DA" w14:textId="77777777" w:rsidR="000D1E5D" w:rsidRPr="000D1E5D" w:rsidRDefault="000D1E5D" w:rsidP="00B055C9">
      <w:pPr>
        <w:pStyle w:val="NormalWeb"/>
        <w:spacing w:before="0" w:beforeAutospacing="0" w:after="0" w:afterAutospacing="0" w:line="360" w:lineRule="auto"/>
        <w:ind w:firstLine="360"/>
        <w:jc w:val="both"/>
        <w:rPr>
          <w:sz w:val="28"/>
          <w:szCs w:val="28"/>
        </w:rPr>
      </w:pPr>
      <w:r w:rsidRPr="000D1E5D">
        <w:rPr>
          <w:sz w:val="28"/>
          <w:szCs w:val="28"/>
        </w:rPr>
        <w:t>Đáng chú ý, doanh thu này được tính bất kể hộ, cá nhân đã thực nhận tiền hay chưa, đảm bảo rằng mọi khoản thu nhập phát sinh từ hoạt động kinh doanh đều được xem xét. Quy định này giúp cơ quan thuế có cơ sở rõ ràng để xác định đối tượng thuộc diện miễn thuế, đồng thời tránh tình trạng lách luật hoặc khai báo không chính xác.</w:t>
      </w:r>
    </w:p>
    <w:p w14:paraId="3687D377" w14:textId="77777777" w:rsidR="000D1E5D" w:rsidRPr="00B055C9" w:rsidRDefault="000D1E5D" w:rsidP="000D1E5D">
      <w:pPr>
        <w:pStyle w:val="Heading3"/>
        <w:spacing w:before="0" w:line="360" w:lineRule="auto"/>
        <w:jc w:val="both"/>
        <w:rPr>
          <w:rFonts w:ascii="Times New Roman" w:hAnsi="Times New Roman" w:cs="Times New Roman"/>
          <w:b/>
          <w:bCs/>
          <w:color w:val="000000" w:themeColor="text1"/>
          <w:sz w:val="28"/>
          <w:szCs w:val="28"/>
        </w:rPr>
      </w:pPr>
      <w:r w:rsidRPr="00B055C9">
        <w:rPr>
          <w:rFonts w:ascii="Times New Roman" w:hAnsi="Times New Roman" w:cs="Times New Roman"/>
          <w:b/>
          <w:bCs/>
          <w:color w:val="000000" w:themeColor="text1"/>
          <w:sz w:val="28"/>
          <w:szCs w:val="28"/>
        </w:rPr>
        <w:t>Cần thiết phải ban hành quy định chi tiết</w:t>
      </w:r>
    </w:p>
    <w:p w14:paraId="13C849B6" w14:textId="77777777" w:rsidR="000D1E5D" w:rsidRPr="000D1E5D" w:rsidRDefault="000D1E5D" w:rsidP="00B055C9">
      <w:pPr>
        <w:pStyle w:val="NormalWeb"/>
        <w:spacing w:before="0" w:beforeAutospacing="0" w:after="0" w:afterAutospacing="0" w:line="360" w:lineRule="auto"/>
        <w:ind w:firstLine="720"/>
        <w:jc w:val="both"/>
        <w:rPr>
          <w:sz w:val="28"/>
          <w:szCs w:val="28"/>
        </w:rPr>
      </w:pPr>
      <w:r w:rsidRPr="000D1E5D">
        <w:rPr>
          <w:sz w:val="28"/>
          <w:szCs w:val="28"/>
        </w:rPr>
        <w:t xml:space="preserve">Mặc dù Thông tư 40/2021/TT-BTC đã cung cấp hướng dẫn cơ bản, Bộ Tài chính nhận định rằng cần có thêm các quy định chi tiết hơn để đồng bộ với hệ thống pháp luật về quản lý thuế. Hiện tại, dự thảo Nghị định hướng dẫn thi hành một số điều của Luật Thuế GTGT sửa đổi đang được xây dựng, trong đó Khoản </w:t>
      </w:r>
      <w:r w:rsidRPr="000D1E5D">
        <w:rPr>
          <w:sz w:val="28"/>
          <w:szCs w:val="28"/>
        </w:rPr>
        <w:lastRenderedPageBreak/>
        <w:t>25, Điều 3 quy định rõ các đối tượng không chịu thuế GTGT. Nội dung này tái khẳng định rằng hộ và cá nhân kinh doanh có doanh thu hằng năm từ 200 triệu đồng trở xuống sẽ được miễn thuế, đồng thời nhấn mạnh rằng việc xác định doanh thu phải tuân theo các quy định của pháp luật về quản lý thuế.</w:t>
      </w:r>
    </w:p>
    <w:p w14:paraId="05C0778E" w14:textId="77777777" w:rsidR="000D1E5D" w:rsidRPr="000D1E5D" w:rsidRDefault="000D1E5D" w:rsidP="000D1E5D">
      <w:pPr>
        <w:pStyle w:val="NormalWeb"/>
        <w:spacing w:before="0" w:beforeAutospacing="0" w:after="0" w:afterAutospacing="0" w:line="360" w:lineRule="auto"/>
        <w:jc w:val="both"/>
        <w:rPr>
          <w:sz w:val="28"/>
          <w:szCs w:val="28"/>
        </w:rPr>
      </w:pPr>
      <w:r w:rsidRPr="000D1E5D">
        <w:rPr>
          <w:sz w:val="28"/>
          <w:szCs w:val="28"/>
        </w:rPr>
        <w:t>Việc ban hành các quy định chi tiết này không chỉ nhằm hiện thực hóa các nội dung của Luật Thuế GTGT mà còn đảm bảo tính đồng bộ với Luật Quản lý thuế. Điều này sẽ giúp cả cơ quan thuế và người nộp thuế có cơ sở pháp lý thống nhất, giảm thiểu các tranh chấp hoặc vướng mắc trong quá trình thực thi. Hơn nữa, các quy định này được thiết kế để phù hợp với các điều ước quốc tế mà Việt Nam là thành viên, đảm bảo rằng chính sách thuế của Việt Nam đáp ứng các tiêu chuẩn quốc tế về minh bạch và công bằng.</w:t>
      </w:r>
    </w:p>
    <w:p w14:paraId="43B72B0C" w14:textId="77777777" w:rsidR="000D1E5D" w:rsidRPr="00B055C9" w:rsidRDefault="000D1E5D" w:rsidP="000D1E5D">
      <w:pPr>
        <w:pStyle w:val="Heading3"/>
        <w:spacing w:before="0" w:line="360" w:lineRule="auto"/>
        <w:jc w:val="both"/>
        <w:rPr>
          <w:rFonts w:ascii="Times New Roman" w:hAnsi="Times New Roman" w:cs="Times New Roman"/>
          <w:b/>
          <w:bCs/>
          <w:color w:val="000000" w:themeColor="text1"/>
          <w:sz w:val="28"/>
          <w:szCs w:val="28"/>
        </w:rPr>
      </w:pPr>
      <w:r w:rsidRPr="00B055C9">
        <w:rPr>
          <w:rFonts w:ascii="Times New Roman" w:hAnsi="Times New Roman" w:cs="Times New Roman"/>
          <w:b/>
          <w:bCs/>
          <w:color w:val="000000" w:themeColor="text1"/>
          <w:sz w:val="28"/>
          <w:szCs w:val="28"/>
        </w:rPr>
        <w:t>Ý nghĩa kinh tế - xã hội</w:t>
      </w:r>
    </w:p>
    <w:p w14:paraId="64FB487E" w14:textId="77777777" w:rsidR="000D1E5D" w:rsidRPr="000D1E5D" w:rsidRDefault="000D1E5D" w:rsidP="00B055C9">
      <w:pPr>
        <w:pStyle w:val="NormalWeb"/>
        <w:spacing w:before="0" w:beforeAutospacing="0" w:after="0" w:afterAutospacing="0" w:line="360" w:lineRule="auto"/>
        <w:ind w:firstLine="720"/>
        <w:jc w:val="both"/>
        <w:rPr>
          <w:sz w:val="28"/>
          <w:szCs w:val="28"/>
        </w:rPr>
      </w:pPr>
      <w:r w:rsidRPr="000D1E5D">
        <w:rPr>
          <w:sz w:val="28"/>
          <w:szCs w:val="28"/>
        </w:rPr>
        <w:t>Về mặt kinh tế, quy định miễn thuế GTGT cho hộ, cá nhân kinh doanh doanh thu thấp mang lại nhiều lợi ích thiết thực. Thứ nhất, nó giúp giảm gánh nặng tài chính cho các đối tượng kinh doanh nhỏ, từ đó khuyến khích họ duy trì và mở rộng hoạt động kinh doanh. Thứ hai, ngưỡng doanh thu 200 triệu đồng được xác định rõ ràng, không làm phát sinh thêm chi phí tuân thủ hay thủ tục hành chính, giúp người nộp thuế dễ dàng nắm bắt và áp dụng.</w:t>
      </w:r>
    </w:p>
    <w:p w14:paraId="17190183" w14:textId="77777777" w:rsidR="000D1E5D" w:rsidRPr="000D1E5D" w:rsidRDefault="000D1E5D" w:rsidP="000D1E5D">
      <w:pPr>
        <w:pStyle w:val="NormalWeb"/>
        <w:spacing w:before="0" w:beforeAutospacing="0" w:after="0" w:afterAutospacing="0" w:line="360" w:lineRule="auto"/>
        <w:jc w:val="both"/>
        <w:rPr>
          <w:sz w:val="28"/>
          <w:szCs w:val="28"/>
        </w:rPr>
      </w:pPr>
      <w:r w:rsidRPr="000D1E5D">
        <w:rPr>
          <w:sz w:val="28"/>
          <w:szCs w:val="28"/>
        </w:rPr>
        <w:t>Về mặt xã hội, chính sách này thể hiện sự quan tâm của Nhà nước đối với các nhóm kinh doanh dễ bị tổn thương, chẳng hạn như các tiểu thương, hộ kinh doanh gia đình, hoặc những người mới khởi nghiệp. Việc miễn thuế GTGT không chỉ giảm áp lực tài chính mà còn tạo động lực để họ tham gia tích cực hơn vào nền kinh tế chính thức, từ đó góp phần nâng cao chất lượng quản lý thuế và tăng cường ý thức tuân thủ pháp luật.</w:t>
      </w:r>
    </w:p>
    <w:p w14:paraId="55D45692" w14:textId="77777777" w:rsidR="000D1E5D" w:rsidRPr="000D1E5D" w:rsidRDefault="000D1E5D" w:rsidP="000D1E5D">
      <w:pPr>
        <w:pStyle w:val="Heading2"/>
        <w:spacing w:before="0" w:beforeAutospacing="0" w:after="0" w:afterAutospacing="0" w:line="360" w:lineRule="auto"/>
        <w:jc w:val="both"/>
        <w:rPr>
          <w:sz w:val="28"/>
          <w:szCs w:val="28"/>
        </w:rPr>
      </w:pPr>
      <w:r w:rsidRPr="000D1E5D">
        <w:rPr>
          <w:sz w:val="28"/>
          <w:szCs w:val="28"/>
        </w:rPr>
        <w:t>Kết luận</w:t>
      </w:r>
    </w:p>
    <w:p w14:paraId="4E09F91A" w14:textId="77777777" w:rsidR="000D1E5D" w:rsidRPr="000D1E5D" w:rsidRDefault="000D1E5D" w:rsidP="00B055C9">
      <w:pPr>
        <w:pStyle w:val="NormalWeb"/>
        <w:spacing w:before="0" w:beforeAutospacing="0" w:after="0" w:afterAutospacing="0" w:line="360" w:lineRule="auto"/>
        <w:ind w:firstLine="720"/>
        <w:jc w:val="both"/>
        <w:rPr>
          <w:sz w:val="28"/>
          <w:szCs w:val="28"/>
        </w:rPr>
      </w:pPr>
      <w:r w:rsidRPr="000D1E5D">
        <w:rPr>
          <w:sz w:val="28"/>
          <w:szCs w:val="28"/>
        </w:rPr>
        <w:t xml:space="preserve">Việc làm rõ tiêu chí miễn thuế GTGT cho hộ và cá nhân kinh doanh doanh thu thấp là một bước đi quan trọng trong việc hoàn thiện hệ thống pháp luật thuế của Việt Nam. Bằng cách ban hành các quy định chi tiết, Chính phủ không chỉ đảm bảo tính minh bạch và thống nhất trong quản lý thuế mà còn tạo ra một môi </w:t>
      </w:r>
      <w:r w:rsidRPr="000D1E5D">
        <w:rPr>
          <w:sz w:val="28"/>
          <w:szCs w:val="28"/>
        </w:rPr>
        <w:lastRenderedPageBreak/>
        <w:t>trường kinh doanh thuận lợi cho các đối tượng kinh doanh quy mô nhỏ. Đây là minh chứng cho cam kết của Nhà nước trong việc hỗ trợ các nhóm kinh doanh dễ bị tổn thương, đồng thời thúc đẩy sự phát triển bền vững của nền kinh tế.</w:t>
      </w:r>
    </w:p>
    <w:p w14:paraId="6FA64105" w14:textId="11ED430C" w:rsidR="000D1E5D" w:rsidRDefault="000D1E5D" w:rsidP="000D1E5D">
      <w:pPr>
        <w:pStyle w:val="NormalWeb"/>
        <w:spacing w:before="0" w:beforeAutospacing="0" w:after="0" w:afterAutospacing="0" w:line="360" w:lineRule="auto"/>
        <w:jc w:val="both"/>
        <w:rPr>
          <w:sz w:val="28"/>
          <w:szCs w:val="28"/>
        </w:rPr>
      </w:pPr>
      <w:r w:rsidRPr="000D1E5D">
        <w:rPr>
          <w:sz w:val="28"/>
          <w:szCs w:val="28"/>
        </w:rPr>
        <w:t>Trong thời gian tới, việc hoàn thiện dự thảo Nghị định và triển khai đồng bộ các văn bản hướng dẫn sẽ là yếu tố then chốt để đảm bảo hiệu quả thực thi của chính sách. Các cơ quan thuế cần tăng cường công tác tuyên truyền, hướng dẫn để người nộp thuế hiểu rõ quyền lợi và nghĩa vụ của mình. Đồng thời, việc phối hợp giữa các cơ quan chức năng sẽ giúp giảm thiểu các vướng mắc, tạo điều kiện để chính sách miễn thuế GTGT phát huy tối đa tác động tích cực, góp phần xây dựng một hệ thống thuế công bằng, minh bạch và hiệu quả.</w:t>
      </w:r>
    </w:p>
    <w:p w14:paraId="5631E140" w14:textId="503CE13E" w:rsidR="00B055C9" w:rsidRDefault="00B055C9" w:rsidP="000D1E5D">
      <w:pPr>
        <w:pStyle w:val="NormalWeb"/>
        <w:spacing w:before="0" w:beforeAutospacing="0" w:after="0" w:afterAutospacing="0" w:line="360" w:lineRule="auto"/>
        <w:jc w:val="both"/>
        <w:rPr>
          <w:b/>
          <w:bCs/>
          <w:sz w:val="28"/>
          <w:szCs w:val="28"/>
          <w:lang w:val="en-US"/>
        </w:rPr>
      </w:pPr>
      <w:proofErr w:type="spellStart"/>
      <w:r>
        <w:rPr>
          <w:b/>
          <w:bCs/>
          <w:sz w:val="28"/>
          <w:szCs w:val="28"/>
          <w:lang w:val="en-US"/>
        </w:rPr>
        <w:t>Tài</w:t>
      </w:r>
      <w:proofErr w:type="spellEnd"/>
      <w:r>
        <w:rPr>
          <w:b/>
          <w:bCs/>
          <w:sz w:val="28"/>
          <w:szCs w:val="28"/>
          <w:lang w:val="en-US"/>
        </w:rPr>
        <w:t xml:space="preserve"> </w:t>
      </w:r>
      <w:proofErr w:type="spellStart"/>
      <w:r>
        <w:rPr>
          <w:b/>
          <w:bCs/>
          <w:sz w:val="28"/>
          <w:szCs w:val="28"/>
          <w:lang w:val="en-US"/>
        </w:rPr>
        <w:t>liệu</w:t>
      </w:r>
      <w:proofErr w:type="spellEnd"/>
      <w:r>
        <w:rPr>
          <w:b/>
          <w:bCs/>
          <w:sz w:val="28"/>
          <w:szCs w:val="28"/>
          <w:lang w:val="en-US"/>
        </w:rPr>
        <w:t xml:space="preserve"> </w:t>
      </w:r>
      <w:proofErr w:type="spellStart"/>
      <w:r>
        <w:rPr>
          <w:b/>
          <w:bCs/>
          <w:sz w:val="28"/>
          <w:szCs w:val="28"/>
          <w:lang w:val="en-US"/>
        </w:rPr>
        <w:t>tham</w:t>
      </w:r>
      <w:proofErr w:type="spellEnd"/>
      <w:r>
        <w:rPr>
          <w:b/>
          <w:bCs/>
          <w:sz w:val="28"/>
          <w:szCs w:val="28"/>
          <w:lang w:val="en-US"/>
        </w:rPr>
        <w:t xml:space="preserve"> </w:t>
      </w:r>
      <w:proofErr w:type="spellStart"/>
      <w:r>
        <w:rPr>
          <w:b/>
          <w:bCs/>
          <w:sz w:val="28"/>
          <w:szCs w:val="28"/>
          <w:lang w:val="en-US"/>
        </w:rPr>
        <w:t>khảo</w:t>
      </w:r>
      <w:proofErr w:type="spellEnd"/>
    </w:p>
    <w:p w14:paraId="67502F61" w14:textId="4DB772B4" w:rsidR="00B055C9" w:rsidRPr="00B055C9" w:rsidRDefault="00B055C9" w:rsidP="00B055C9">
      <w:pPr>
        <w:pStyle w:val="ListParagraph"/>
        <w:numPr>
          <w:ilvl w:val="0"/>
          <w:numId w:val="4"/>
        </w:numPr>
        <w:rPr>
          <w:rFonts w:ascii="Times New Roman" w:eastAsia="Times New Roman" w:hAnsi="Times New Roman" w:cs="Times New Roman"/>
          <w:sz w:val="28"/>
          <w:szCs w:val="28"/>
        </w:rPr>
      </w:pPr>
      <w:r w:rsidRPr="00B055C9">
        <w:rPr>
          <w:rFonts w:ascii="Times New Roman" w:eastAsia="Times New Roman" w:hAnsi="Times New Roman" w:cs="Times New Roman"/>
          <w:sz w:val="28"/>
          <w:szCs w:val="28"/>
        </w:rPr>
        <w:t xml:space="preserve">Luật Thuế Giá Trị Gia Tăng (sửa đổi) </w:t>
      </w:r>
    </w:p>
    <w:p w14:paraId="7AA72691" w14:textId="77777777" w:rsidR="00B055C9" w:rsidRPr="00B055C9" w:rsidRDefault="00B055C9" w:rsidP="00B055C9">
      <w:pPr>
        <w:pStyle w:val="NormalWeb"/>
        <w:numPr>
          <w:ilvl w:val="0"/>
          <w:numId w:val="4"/>
        </w:numPr>
        <w:rPr>
          <w:sz w:val="28"/>
          <w:szCs w:val="28"/>
        </w:rPr>
      </w:pPr>
      <w:r w:rsidRPr="00B055C9">
        <w:rPr>
          <w:sz w:val="28"/>
          <w:szCs w:val="28"/>
        </w:rPr>
        <w:t>Thông tư số 40/2021/TT-BTC</w:t>
      </w:r>
    </w:p>
    <w:p w14:paraId="1EE3D339" w14:textId="77777777" w:rsidR="00B055C9" w:rsidRPr="00B055C9" w:rsidRDefault="00B055C9" w:rsidP="00B055C9">
      <w:pPr>
        <w:pStyle w:val="NormalWeb"/>
        <w:numPr>
          <w:ilvl w:val="0"/>
          <w:numId w:val="4"/>
        </w:numPr>
        <w:rPr>
          <w:sz w:val="28"/>
          <w:szCs w:val="28"/>
        </w:rPr>
      </w:pPr>
      <w:r w:rsidRPr="00B055C9">
        <w:rPr>
          <w:sz w:val="28"/>
          <w:szCs w:val="28"/>
        </w:rPr>
        <w:t>Dự thảo Nghị định hướng dẫn thi hành một số điều của Luật Thuế Giá Trị Gia Tăng (sửa đổi)</w:t>
      </w:r>
    </w:p>
    <w:p w14:paraId="55872803" w14:textId="77777777" w:rsidR="00B055C9" w:rsidRPr="00B055C9" w:rsidRDefault="00B055C9" w:rsidP="00B055C9">
      <w:pPr>
        <w:pStyle w:val="NormalWeb"/>
        <w:numPr>
          <w:ilvl w:val="0"/>
          <w:numId w:val="4"/>
        </w:numPr>
        <w:rPr>
          <w:sz w:val="28"/>
          <w:szCs w:val="28"/>
        </w:rPr>
      </w:pPr>
      <w:r w:rsidRPr="00B055C9">
        <w:rPr>
          <w:sz w:val="28"/>
          <w:szCs w:val="28"/>
        </w:rPr>
        <w:t>Luật Quản lý thuế</w:t>
      </w:r>
    </w:p>
    <w:p w14:paraId="11B8372A" w14:textId="77777777" w:rsidR="00B055C9" w:rsidRPr="00B055C9" w:rsidRDefault="00B055C9" w:rsidP="00B055C9">
      <w:pPr>
        <w:pStyle w:val="ListParagraph"/>
        <w:rPr>
          <w:rFonts w:ascii="Times New Roman" w:eastAsia="Times New Roman" w:hAnsi="Times New Roman" w:cs="Times New Roman"/>
        </w:rPr>
      </w:pPr>
    </w:p>
    <w:p w14:paraId="0A368691" w14:textId="77777777" w:rsidR="00B055C9" w:rsidRPr="00B055C9" w:rsidRDefault="00B055C9" w:rsidP="00B055C9">
      <w:pPr>
        <w:spacing w:before="100" w:beforeAutospacing="1" w:after="100" w:afterAutospacing="1"/>
        <w:rPr>
          <w:rFonts w:ascii="Times New Roman" w:eastAsia="Times New Roman" w:hAnsi="Times New Roman" w:cs="Times New Roman"/>
        </w:rPr>
      </w:pPr>
    </w:p>
    <w:p w14:paraId="4A99D85F" w14:textId="77777777" w:rsidR="00B055C9" w:rsidRPr="00B055C9" w:rsidRDefault="00B055C9" w:rsidP="000D1E5D">
      <w:pPr>
        <w:pStyle w:val="NormalWeb"/>
        <w:spacing w:before="0" w:beforeAutospacing="0" w:after="0" w:afterAutospacing="0" w:line="360" w:lineRule="auto"/>
        <w:jc w:val="both"/>
        <w:rPr>
          <w:b/>
          <w:bCs/>
          <w:sz w:val="28"/>
          <w:szCs w:val="28"/>
          <w:lang w:val="en-US"/>
        </w:rPr>
      </w:pPr>
    </w:p>
    <w:p w14:paraId="0FED38FD" w14:textId="77777777" w:rsidR="00580E85" w:rsidRPr="000D1E5D" w:rsidRDefault="00580E85" w:rsidP="000D1E5D">
      <w:pPr>
        <w:spacing w:line="360" w:lineRule="auto"/>
        <w:jc w:val="both"/>
        <w:rPr>
          <w:rFonts w:ascii="Times New Roman" w:hAnsi="Times New Roman" w:cs="Times New Roman"/>
          <w:sz w:val="28"/>
          <w:szCs w:val="28"/>
        </w:rPr>
      </w:pPr>
    </w:p>
    <w:sectPr w:rsidR="00580E85" w:rsidRPr="000D1E5D"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685B"/>
    <w:multiLevelType w:val="multilevel"/>
    <w:tmpl w:val="932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4702E"/>
    <w:multiLevelType w:val="multilevel"/>
    <w:tmpl w:val="B79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F65E2"/>
    <w:multiLevelType w:val="multilevel"/>
    <w:tmpl w:val="9F28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E51E7"/>
    <w:multiLevelType w:val="hybridMultilevel"/>
    <w:tmpl w:val="E1E24E6A"/>
    <w:lvl w:ilvl="0" w:tplc="8E4463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91974">
    <w:abstractNumId w:val="2"/>
  </w:num>
  <w:num w:numId="2" w16cid:durableId="303895165">
    <w:abstractNumId w:val="1"/>
  </w:num>
  <w:num w:numId="3" w16cid:durableId="1535458076">
    <w:abstractNumId w:val="0"/>
  </w:num>
  <w:num w:numId="4" w16cid:durableId="88028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5D"/>
    <w:rsid w:val="00001522"/>
    <w:rsid w:val="000030DC"/>
    <w:rsid w:val="00006B49"/>
    <w:rsid w:val="00011A7B"/>
    <w:rsid w:val="0001745E"/>
    <w:rsid w:val="00021943"/>
    <w:rsid w:val="00022756"/>
    <w:rsid w:val="00023761"/>
    <w:rsid w:val="000301A9"/>
    <w:rsid w:val="00033D0F"/>
    <w:rsid w:val="00037080"/>
    <w:rsid w:val="00041F3A"/>
    <w:rsid w:val="00043A04"/>
    <w:rsid w:val="00046E2A"/>
    <w:rsid w:val="000473A1"/>
    <w:rsid w:val="000474B9"/>
    <w:rsid w:val="000545B4"/>
    <w:rsid w:val="0005549E"/>
    <w:rsid w:val="00060208"/>
    <w:rsid w:val="00062C84"/>
    <w:rsid w:val="00070753"/>
    <w:rsid w:val="0007114D"/>
    <w:rsid w:val="0007317E"/>
    <w:rsid w:val="0007479A"/>
    <w:rsid w:val="00082D25"/>
    <w:rsid w:val="00085C5A"/>
    <w:rsid w:val="000871C5"/>
    <w:rsid w:val="00094F3F"/>
    <w:rsid w:val="000A11D8"/>
    <w:rsid w:val="000A1542"/>
    <w:rsid w:val="000A2285"/>
    <w:rsid w:val="000A30D6"/>
    <w:rsid w:val="000A4ED0"/>
    <w:rsid w:val="000A5337"/>
    <w:rsid w:val="000B10A0"/>
    <w:rsid w:val="000B58FA"/>
    <w:rsid w:val="000C59D5"/>
    <w:rsid w:val="000C7C4E"/>
    <w:rsid w:val="000D1E5D"/>
    <w:rsid w:val="000F3C40"/>
    <w:rsid w:val="000F604A"/>
    <w:rsid w:val="000F67FC"/>
    <w:rsid w:val="001017BF"/>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3705"/>
    <w:rsid w:val="00164051"/>
    <w:rsid w:val="00166B97"/>
    <w:rsid w:val="00176C14"/>
    <w:rsid w:val="00180BB0"/>
    <w:rsid w:val="0018286D"/>
    <w:rsid w:val="0018424B"/>
    <w:rsid w:val="001875BB"/>
    <w:rsid w:val="0019411E"/>
    <w:rsid w:val="00195813"/>
    <w:rsid w:val="00196C38"/>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3103"/>
    <w:rsid w:val="00254CAD"/>
    <w:rsid w:val="00257359"/>
    <w:rsid w:val="002608EF"/>
    <w:rsid w:val="002645BC"/>
    <w:rsid w:val="002760C9"/>
    <w:rsid w:val="00282327"/>
    <w:rsid w:val="00283877"/>
    <w:rsid w:val="00286658"/>
    <w:rsid w:val="002900C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7F0"/>
    <w:rsid w:val="002F6ED7"/>
    <w:rsid w:val="002F7B80"/>
    <w:rsid w:val="00301F9E"/>
    <w:rsid w:val="00305E72"/>
    <w:rsid w:val="00311A02"/>
    <w:rsid w:val="00314BB7"/>
    <w:rsid w:val="00317C10"/>
    <w:rsid w:val="003205C3"/>
    <w:rsid w:val="00324F4E"/>
    <w:rsid w:val="00327682"/>
    <w:rsid w:val="00333A62"/>
    <w:rsid w:val="003351C9"/>
    <w:rsid w:val="003401FB"/>
    <w:rsid w:val="003443DE"/>
    <w:rsid w:val="00346B38"/>
    <w:rsid w:val="003478F7"/>
    <w:rsid w:val="0035047F"/>
    <w:rsid w:val="003516A6"/>
    <w:rsid w:val="003553EF"/>
    <w:rsid w:val="00360092"/>
    <w:rsid w:val="003678C0"/>
    <w:rsid w:val="00373CC9"/>
    <w:rsid w:val="00373F7E"/>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419C"/>
    <w:rsid w:val="003E6298"/>
    <w:rsid w:val="003F22B8"/>
    <w:rsid w:val="003F4896"/>
    <w:rsid w:val="00401A0F"/>
    <w:rsid w:val="00403B0B"/>
    <w:rsid w:val="00406D48"/>
    <w:rsid w:val="00407B9D"/>
    <w:rsid w:val="004107D2"/>
    <w:rsid w:val="00412AA8"/>
    <w:rsid w:val="00416CB6"/>
    <w:rsid w:val="0041729E"/>
    <w:rsid w:val="00417E8E"/>
    <w:rsid w:val="004242BB"/>
    <w:rsid w:val="0043359F"/>
    <w:rsid w:val="004337A4"/>
    <w:rsid w:val="00433F48"/>
    <w:rsid w:val="004353A0"/>
    <w:rsid w:val="004448F2"/>
    <w:rsid w:val="004452D0"/>
    <w:rsid w:val="00451363"/>
    <w:rsid w:val="004553A3"/>
    <w:rsid w:val="00462E23"/>
    <w:rsid w:val="004653CF"/>
    <w:rsid w:val="0047242F"/>
    <w:rsid w:val="00473D36"/>
    <w:rsid w:val="00483D12"/>
    <w:rsid w:val="004859E4"/>
    <w:rsid w:val="00485B06"/>
    <w:rsid w:val="00493E0D"/>
    <w:rsid w:val="00494493"/>
    <w:rsid w:val="004A092B"/>
    <w:rsid w:val="004A1B97"/>
    <w:rsid w:val="004B1EE9"/>
    <w:rsid w:val="004B275C"/>
    <w:rsid w:val="004B4BBE"/>
    <w:rsid w:val="004B4C16"/>
    <w:rsid w:val="004B6373"/>
    <w:rsid w:val="004B7873"/>
    <w:rsid w:val="004C44BB"/>
    <w:rsid w:val="004C565F"/>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4628F"/>
    <w:rsid w:val="0055057E"/>
    <w:rsid w:val="00554E89"/>
    <w:rsid w:val="00562F8D"/>
    <w:rsid w:val="005634FE"/>
    <w:rsid w:val="00572280"/>
    <w:rsid w:val="00572612"/>
    <w:rsid w:val="00573329"/>
    <w:rsid w:val="00580E85"/>
    <w:rsid w:val="005850D9"/>
    <w:rsid w:val="00585DFE"/>
    <w:rsid w:val="00594A51"/>
    <w:rsid w:val="00596ABE"/>
    <w:rsid w:val="005A60D7"/>
    <w:rsid w:val="005B0173"/>
    <w:rsid w:val="005B386C"/>
    <w:rsid w:val="005C02C6"/>
    <w:rsid w:val="005C7043"/>
    <w:rsid w:val="005D23B7"/>
    <w:rsid w:val="005D3A1C"/>
    <w:rsid w:val="005D7C28"/>
    <w:rsid w:val="005E42B4"/>
    <w:rsid w:val="005E54DC"/>
    <w:rsid w:val="005F11DC"/>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1990"/>
    <w:rsid w:val="006548CC"/>
    <w:rsid w:val="00655409"/>
    <w:rsid w:val="0065574F"/>
    <w:rsid w:val="00660302"/>
    <w:rsid w:val="00666E1A"/>
    <w:rsid w:val="00671045"/>
    <w:rsid w:val="00676B13"/>
    <w:rsid w:val="00686800"/>
    <w:rsid w:val="00690349"/>
    <w:rsid w:val="006904B2"/>
    <w:rsid w:val="006923B5"/>
    <w:rsid w:val="006926AA"/>
    <w:rsid w:val="00694AE3"/>
    <w:rsid w:val="006A2D1E"/>
    <w:rsid w:val="006A335A"/>
    <w:rsid w:val="006A6191"/>
    <w:rsid w:val="006B39F2"/>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B3B8D"/>
    <w:rsid w:val="007C072B"/>
    <w:rsid w:val="007E1BF0"/>
    <w:rsid w:val="007E1C77"/>
    <w:rsid w:val="007F79FE"/>
    <w:rsid w:val="00800528"/>
    <w:rsid w:val="00800C18"/>
    <w:rsid w:val="00810509"/>
    <w:rsid w:val="008129B3"/>
    <w:rsid w:val="0081706D"/>
    <w:rsid w:val="00817CB7"/>
    <w:rsid w:val="008219F3"/>
    <w:rsid w:val="0082487B"/>
    <w:rsid w:val="00827978"/>
    <w:rsid w:val="00830370"/>
    <w:rsid w:val="00834EDF"/>
    <w:rsid w:val="0084106C"/>
    <w:rsid w:val="0084320B"/>
    <w:rsid w:val="0084418A"/>
    <w:rsid w:val="00846DC7"/>
    <w:rsid w:val="008549B9"/>
    <w:rsid w:val="00862CB2"/>
    <w:rsid w:val="0086462B"/>
    <w:rsid w:val="00873D80"/>
    <w:rsid w:val="00873D9D"/>
    <w:rsid w:val="008952C0"/>
    <w:rsid w:val="008952E8"/>
    <w:rsid w:val="008A403F"/>
    <w:rsid w:val="008A41E4"/>
    <w:rsid w:val="008A4845"/>
    <w:rsid w:val="008A5E6D"/>
    <w:rsid w:val="008B40D7"/>
    <w:rsid w:val="008B415E"/>
    <w:rsid w:val="008B5AC4"/>
    <w:rsid w:val="008C20F3"/>
    <w:rsid w:val="008C25A7"/>
    <w:rsid w:val="008C5275"/>
    <w:rsid w:val="008C5E8F"/>
    <w:rsid w:val="008D1EE6"/>
    <w:rsid w:val="008D2216"/>
    <w:rsid w:val="008D2B5C"/>
    <w:rsid w:val="008D59E5"/>
    <w:rsid w:val="008E41F9"/>
    <w:rsid w:val="008E7086"/>
    <w:rsid w:val="008E7913"/>
    <w:rsid w:val="008F2A34"/>
    <w:rsid w:val="00902105"/>
    <w:rsid w:val="00902E25"/>
    <w:rsid w:val="00903DA7"/>
    <w:rsid w:val="009059D6"/>
    <w:rsid w:val="009062DC"/>
    <w:rsid w:val="0090666E"/>
    <w:rsid w:val="00910877"/>
    <w:rsid w:val="0091139F"/>
    <w:rsid w:val="00912598"/>
    <w:rsid w:val="009136BD"/>
    <w:rsid w:val="00913769"/>
    <w:rsid w:val="00917307"/>
    <w:rsid w:val="00920916"/>
    <w:rsid w:val="009248E0"/>
    <w:rsid w:val="009312EF"/>
    <w:rsid w:val="00934614"/>
    <w:rsid w:val="00944034"/>
    <w:rsid w:val="00946ECD"/>
    <w:rsid w:val="00950D80"/>
    <w:rsid w:val="00955A87"/>
    <w:rsid w:val="00961672"/>
    <w:rsid w:val="0097393F"/>
    <w:rsid w:val="00974EFD"/>
    <w:rsid w:val="00976A3A"/>
    <w:rsid w:val="00983761"/>
    <w:rsid w:val="00983CC9"/>
    <w:rsid w:val="009864BA"/>
    <w:rsid w:val="00991876"/>
    <w:rsid w:val="009A0512"/>
    <w:rsid w:val="009A2595"/>
    <w:rsid w:val="009B0E5A"/>
    <w:rsid w:val="009B2A57"/>
    <w:rsid w:val="009B43B1"/>
    <w:rsid w:val="009C08BF"/>
    <w:rsid w:val="009D6A88"/>
    <w:rsid w:val="009E148C"/>
    <w:rsid w:val="009E1FB7"/>
    <w:rsid w:val="009E4343"/>
    <w:rsid w:val="00A00935"/>
    <w:rsid w:val="00A06B7A"/>
    <w:rsid w:val="00A07166"/>
    <w:rsid w:val="00A13763"/>
    <w:rsid w:val="00A13FF2"/>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2266"/>
    <w:rsid w:val="00A8427E"/>
    <w:rsid w:val="00A85BCC"/>
    <w:rsid w:val="00A91500"/>
    <w:rsid w:val="00A92D12"/>
    <w:rsid w:val="00A951D4"/>
    <w:rsid w:val="00A96793"/>
    <w:rsid w:val="00AA1A61"/>
    <w:rsid w:val="00AA676C"/>
    <w:rsid w:val="00AB1410"/>
    <w:rsid w:val="00AB1EBA"/>
    <w:rsid w:val="00AC0528"/>
    <w:rsid w:val="00AC4D4A"/>
    <w:rsid w:val="00AC5C2B"/>
    <w:rsid w:val="00AC678A"/>
    <w:rsid w:val="00AD5804"/>
    <w:rsid w:val="00AE02BD"/>
    <w:rsid w:val="00AE32D6"/>
    <w:rsid w:val="00AE7EBF"/>
    <w:rsid w:val="00AF06E1"/>
    <w:rsid w:val="00AF2AA7"/>
    <w:rsid w:val="00AF3310"/>
    <w:rsid w:val="00AF69A3"/>
    <w:rsid w:val="00B05485"/>
    <w:rsid w:val="00B055C9"/>
    <w:rsid w:val="00B058BF"/>
    <w:rsid w:val="00B05F14"/>
    <w:rsid w:val="00B10694"/>
    <w:rsid w:val="00B13078"/>
    <w:rsid w:val="00B1612C"/>
    <w:rsid w:val="00B16818"/>
    <w:rsid w:val="00B23E70"/>
    <w:rsid w:val="00B2511C"/>
    <w:rsid w:val="00B324E8"/>
    <w:rsid w:val="00B32AA9"/>
    <w:rsid w:val="00B35F26"/>
    <w:rsid w:val="00B44380"/>
    <w:rsid w:val="00B46090"/>
    <w:rsid w:val="00B46A29"/>
    <w:rsid w:val="00B47BB5"/>
    <w:rsid w:val="00B51E01"/>
    <w:rsid w:val="00B631BE"/>
    <w:rsid w:val="00B67390"/>
    <w:rsid w:val="00B67814"/>
    <w:rsid w:val="00B72829"/>
    <w:rsid w:val="00B761D6"/>
    <w:rsid w:val="00B80DB5"/>
    <w:rsid w:val="00B875C9"/>
    <w:rsid w:val="00BA07AD"/>
    <w:rsid w:val="00BA1095"/>
    <w:rsid w:val="00BA50D0"/>
    <w:rsid w:val="00BA5873"/>
    <w:rsid w:val="00BA6F61"/>
    <w:rsid w:val="00BB0543"/>
    <w:rsid w:val="00BB1796"/>
    <w:rsid w:val="00BB2701"/>
    <w:rsid w:val="00BC6475"/>
    <w:rsid w:val="00BC64A6"/>
    <w:rsid w:val="00BD0F0C"/>
    <w:rsid w:val="00BD173F"/>
    <w:rsid w:val="00BD5930"/>
    <w:rsid w:val="00BD6435"/>
    <w:rsid w:val="00BD74B9"/>
    <w:rsid w:val="00BF0E89"/>
    <w:rsid w:val="00BF5EAA"/>
    <w:rsid w:val="00C07FCD"/>
    <w:rsid w:val="00C1317F"/>
    <w:rsid w:val="00C13BAC"/>
    <w:rsid w:val="00C14944"/>
    <w:rsid w:val="00C20AC2"/>
    <w:rsid w:val="00C27004"/>
    <w:rsid w:val="00C32357"/>
    <w:rsid w:val="00C32BF8"/>
    <w:rsid w:val="00C34FCA"/>
    <w:rsid w:val="00C35391"/>
    <w:rsid w:val="00C36171"/>
    <w:rsid w:val="00C36CEE"/>
    <w:rsid w:val="00C42F82"/>
    <w:rsid w:val="00C44D0C"/>
    <w:rsid w:val="00C61264"/>
    <w:rsid w:val="00C624D7"/>
    <w:rsid w:val="00C638BF"/>
    <w:rsid w:val="00C70A4E"/>
    <w:rsid w:val="00C80B5F"/>
    <w:rsid w:val="00C813F0"/>
    <w:rsid w:val="00C8436D"/>
    <w:rsid w:val="00C867A6"/>
    <w:rsid w:val="00C90F37"/>
    <w:rsid w:val="00C91130"/>
    <w:rsid w:val="00C91266"/>
    <w:rsid w:val="00C929D8"/>
    <w:rsid w:val="00C92B40"/>
    <w:rsid w:val="00C931AF"/>
    <w:rsid w:val="00CA4C2F"/>
    <w:rsid w:val="00CB447D"/>
    <w:rsid w:val="00CC2073"/>
    <w:rsid w:val="00CC695B"/>
    <w:rsid w:val="00CD020A"/>
    <w:rsid w:val="00CD4264"/>
    <w:rsid w:val="00CE44C6"/>
    <w:rsid w:val="00CE5417"/>
    <w:rsid w:val="00CE5AA3"/>
    <w:rsid w:val="00CF2911"/>
    <w:rsid w:val="00CF3C21"/>
    <w:rsid w:val="00CF7D21"/>
    <w:rsid w:val="00D022E4"/>
    <w:rsid w:val="00D04FEB"/>
    <w:rsid w:val="00D059EB"/>
    <w:rsid w:val="00D12C88"/>
    <w:rsid w:val="00D167DC"/>
    <w:rsid w:val="00D27F5A"/>
    <w:rsid w:val="00D33BEF"/>
    <w:rsid w:val="00D42B29"/>
    <w:rsid w:val="00D50407"/>
    <w:rsid w:val="00D52FA6"/>
    <w:rsid w:val="00D60653"/>
    <w:rsid w:val="00D64FD8"/>
    <w:rsid w:val="00D7107D"/>
    <w:rsid w:val="00D72B5B"/>
    <w:rsid w:val="00D7469C"/>
    <w:rsid w:val="00D76D1E"/>
    <w:rsid w:val="00D8327F"/>
    <w:rsid w:val="00D83C0F"/>
    <w:rsid w:val="00D847D7"/>
    <w:rsid w:val="00D863FF"/>
    <w:rsid w:val="00D86E23"/>
    <w:rsid w:val="00D87481"/>
    <w:rsid w:val="00D90BD7"/>
    <w:rsid w:val="00DA0320"/>
    <w:rsid w:val="00DA2FF8"/>
    <w:rsid w:val="00DA5C3C"/>
    <w:rsid w:val="00DA715E"/>
    <w:rsid w:val="00DB4D7C"/>
    <w:rsid w:val="00DB5E3A"/>
    <w:rsid w:val="00DB63D5"/>
    <w:rsid w:val="00DC6E04"/>
    <w:rsid w:val="00DD0588"/>
    <w:rsid w:val="00DD1FF3"/>
    <w:rsid w:val="00DD4FD7"/>
    <w:rsid w:val="00DD62DD"/>
    <w:rsid w:val="00DE6515"/>
    <w:rsid w:val="00DF1D95"/>
    <w:rsid w:val="00DF3D8E"/>
    <w:rsid w:val="00DF4EB0"/>
    <w:rsid w:val="00E0008B"/>
    <w:rsid w:val="00E00BAC"/>
    <w:rsid w:val="00E0249E"/>
    <w:rsid w:val="00E02F40"/>
    <w:rsid w:val="00E106F0"/>
    <w:rsid w:val="00E1464D"/>
    <w:rsid w:val="00E227B6"/>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25D78"/>
    <w:rsid w:val="00F32073"/>
    <w:rsid w:val="00F36FCC"/>
    <w:rsid w:val="00F407C8"/>
    <w:rsid w:val="00F44FF9"/>
    <w:rsid w:val="00F46CB1"/>
    <w:rsid w:val="00F560C1"/>
    <w:rsid w:val="00F56462"/>
    <w:rsid w:val="00F56EC2"/>
    <w:rsid w:val="00F579EA"/>
    <w:rsid w:val="00F6296D"/>
    <w:rsid w:val="00F63E44"/>
    <w:rsid w:val="00F65085"/>
    <w:rsid w:val="00F80A45"/>
    <w:rsid w:val="00F812BB"/>
    <w:rsid w:val="00F82FD6"/>
    <w:rsid w:val="00F8415A"/>
    <w:rsid w:val="00F853D3"/>
    <w:rsid w:val="00F856CE"/>
    <w:rsid w:val="00F87174"/>
    <w:rsid w:val="00F915E6"/>
    <w:rsid w:val="00F97E4E"/>
    <w:rsid w:val="00FA5776"/>
    <w:rsid w:val="00FB2E8B"/>
    <w:rsid w:val="00FE303E"/>
    <w:rsid w:val="00FE6D06"/>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37282C"/>
  <w15:chartTrackingRefBased/>
  <w15:docId w15:val="{E889FA6E-B07F-1C4F-94FA-D079F11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0D1E5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1E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D1E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E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1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1E5D"/>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0D1E5D"/>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055C9"/>
    <w:rPr>
      <w:b/>
      <w:bCs/>
    </w:rPr>
  </w:style>
  <w:style w:type="paragraph" w:styleId="ListParagraph">
    <w:name w:val="List Paragraph"/>
    <w:basedOn w:val="Normal"/>
    <w:uiPriority w:val="34"/>
    <w:qFormat/>
    <w:rsid w:val="00B0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7093">
      <w:bodyDiv w:val="1"/>
      <w:marLeft w:val="0"/>
      <w:marRight w:val="0"/>
      <w:marTop w:val="0"/>
      <w:marBottom w:val="0"/>
      <w:divBdr>
        <w:top w:val="none" w:sz="0" w:space="0" w:color="auto"/>
        <w:left w:val="none" w:sz="0" w:space="0" w:color="auto"/>
        <w:bottom w:val="none" w:sz="0" w:space="0" w:color="auto"/>
        <w:right w:val="none" w:sz="0" w:space="0" w:color="auto"/>
      </w:divBdr>
    </w:div>
    <w:div w:id="331837650">
      <w:bodyDiv w:val="1"/>
      <w:marLeft w:val="0"/>
      <w:marRight w:val="0"/>
      <w:marTop w:val="0"/>
      <w:marBottom w:val="0"/>
      <w:divBdr>
        <w:top w:val="none" w:sz="0" w:space="0" w:color="auto"/>
        <w:left w:val="none" w:sz="0" w:space="0" w:color="auto"/>
        <w:bottom w:val="none" w:sz="0" w:space="0" w:color="auto"/>
        <w:right w:val="none" w:sz="0" w:space="0" w:color="auto"/>
      </w:divBdr>
    </w:div>
    <w:div w:id="1278105732">
      <w:bodyDiv w:val="1"/>
      <w:marLeft w:val="0"/>
      <w:marRight w:val="0"/>
      <w:marTop w:val="0"/>
      <w:marBottom w:val="0"/>
      <w:divBdr>
        <w:top w:val="none" w:sz="0" w:space="0" w:color="auto"/>
        <w:left w:val="none" w:sz="0" w:space="0" w:color="auto"/>
        <w:bottom w:val="none" w:sz="0" w:space="0" w:color="auto"/>
        <w:right w:val="none" w:sz="0" w:space="0" w:color="auto"/>
      </w:divBdr>
    </w:div>
    <w:div w:id="1326935133">
      <w:bodyDiv w:val="1"/>
      <w:marLeft w:val="0"/>
      <w:marRight w:val="0"/>
      <w:marTop w:val="0"/>
      <w:marBottom w:val="0"/>
      <w:divBdr>
        <w:top w:val="none" w:sz="0" w:space="0" w:color="auto"/>
        <w:left w:val="none" w:sz="0" w:space="0" w:color="auto"/>
        <w:bottom w:val="none" w:sz="0" w:space="0" w:color="auto"/>
        <w:right w:val="none" w:sz="0" w:space="0" w:color="auto"/>
      </w:divBdr>
    </w:div>
    <w:div w:id="1676884295">
      <w:bodyDiv w:val="1"/>
      <w:marLeft w:val="0"/>
      <w:marRight w:val="0"/>
      <w:marTop w:val="0"/>
      <w:marBottom w:val="0"/>
      <w:divBdr>
        <w:top w:val="none" w:sz="0" w:space="0" w:color="auto"/>
        <w:left w:val="none" w:sz="0" w:space="0" w:color="auto"/>
        <w:bottom w:val="none" w:sz="0" w:space="0" w:color="auto"/>
        <w:right w:val="none" w:sz="0" w:space="0" w:color="auto"/>
      </w:divBdr>
    </w:div>
    <w:div w:id="1707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2</cp:revision>
  <dcterms:created xsi:type="dcterms:W3CDTF">2025-05-12T12:25:00Z</dcterms:created>
  <dcterms:modified xsi:type="dcterms:W3CDTF">2025-05-12T12:33:00Z</dcterms:modified>
</cp:coreProperties>
</file>