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BDA" w:rsidRPr="00570FE6" w:rsidRDefault="00745BDA" w:rsidP="00745BDA">
      <w:pPr>
        <w:spacing w:line="312" w:lineRule="auto"/>
        <w:jc w:val="both"/>
        <w:rPr>
          <w:b/>
          <w:bCs/>
          <w:color w:val="000000" w:themeColor="text1"/>
          <w:sz w:val="26"/>
          <w:szCs w:val="26"/>
        </w:rPr>
      </w:pPr>
    </w:p>
    <w:p w:rsidR="00745BDA" w:rsidRPr="00570FE6" w:rsidRDefault="00745BDA" w:rsidP="00745BDA">
      <w:pPr>
        <w:spacing w:line="312" w:lineRule="auto"/>
        <w:jc w:val="both"/>
        <w:rPr>
          <w:b/>
          <w:bCs/>
          <w:color w:val="000000" w:themeColor="text1"/>
          <w:sz w:val="26"/>
          <w:szCs w:val="26"/>
        </w:rPr>
      </w:pPr>
    </w:p>
    <w:p w:rsidR="00745BDA" w:rsidRPr="00570FE6" w:rsidRDefault="00745BDA" w:rsidP="00745BDA">
      <w:pPr>
        <w:spacing w:line="312" w:lineRule="auto"/>
        <w:jc w:val="both"/>
        <w:rPr>
          <w:b/>
          <w:bCs/>
          <w:color w:val="000000" w:themeColor="text1"/>
          <w:sz w:val="26"/>
          <w:szCs w:val="26"/>
        </w:rPr>
      </w:pPr>
    </w:p>
    <w:p w:rsidR="00745BDA" w:rsidRPr="00570FE6" w:rsidRDefault="00745BDA" w:rsidP="00745BDA">
      <w:pPr>
        <w:spacing w:line="312" w:lineRule="auto"/>
        <w:jc w:val="center"/>
        <w:rPr>
          <w:b/>
          <w:bCs/>
          <w:color w:val="000000" w:themeColor="text1"/>
          <w:sz w:val="26"/>
          <w:szCs w:val="26"/>
        </w:rPr>
      </w:pPr>
      <w:r w:rsidRPr="00570FE6">
        <w:rPr>
          <w:b/>
          <w:bCs/>
          <w:color w:val="000000" w:themeColor="text1"/>
          <w:sz w:val="26"/>
          <w:szCs w:val="26"/>
        </w:rPr>
        <w:t>TÌM HIỂU CÁC PHƯƠNG PHÁP SỬ DỤNG ĐỂ DỰ BÁO CÁC CHỈ TIÊU TÀI CHÍNH</w:t>
      </w:r>
      <w:r w:rsidR="00DE6324" w:rsidRPr="00570FE6">
        <w:rPr>
          <w:b/>
          <w:bCs/>
          <w:color w:val="000000" w:themeColor="text1"/>
          <w:sz w:val="26"/>
          <w:szCs w:val="26"/>
        </w:rPr>
        <w:t xml:space="preserve"> - </w:t>
      </w:r>
      <w:r w:rsidR="00DE6324" w:rsidRPr="00570FE6">
        <w:rPr>
          <w:b/>
          <w:bCs/>
          <w:color w:val="000000" w:themeColor="text1"/>
          <w:sz w:val="26"/>
          <w:szCs w:val="26"/>
        </w:rPr>
        <w:t xml:space="preserve">DỰ BÁO CÁC CHỈ TIÊU TRÊN BÁO CÁO KẾT QUẢ HOẠT ĐỘNG  </w:t>
      </w:r>
    </w:p>
    <w:p w:rsidR="00745BDA" w:rsidRPr="00570FE6" w:rsidRDefault="00745BDA" w:rsidP="00745BDA">
      <w:pPr>
        <w:spacing w:line="312" w:lineRule="auto"/>
        <w:jc w:val="center"/>
        <w:rPr>
          <w:sz w:val="26"/>
          <w:szCs w:val="26"/>
        </w:rPr>
      </w:pPr>
      <w:r w:rsidRPr="00570FE6">
        <w:rPr>
          <w:b/>
          <w:sz w:val="26"/>
          <w:szCs w:val="26"/>
        </w:rPr>
        <w:t xml:space="preserve">                                                                       </w:t>
      </w:r>
      <w:r w:rsidRPr="00570FE6">
        <w:rPr>
          <w:sz w:val="26"/>
          <w:szCs w:val="26"/>
        </w:rPr>
        <w:t>Nguyễn Thị Hồng Sương</w:t>
      </w:r>
    </w:p>
    <w:p w:rsidR="00745BDA" w:rsidRPr="00570FE6" w:rsidRDefault="00A65B34" w:rsidP="00A65B34">
      <w:pPr>
        <w:pStyle w:val="3"/>
        <w:rPr>
          <w:b w:val="0"/>
          <w:bCs w:val="0"/>
          <w:color w:val="000000" w:themeColor="text1"/>
          <w:sz w:val="26"/>
        </w:rPr>
      </w:pPr>
      <w:r w:rsidRPr="00570FE6">
        <w:rPr>
          <w:i/>
          <w:iCs/>
          <w:sz w:val="26"/>
          <w:lang w:val="en-US"/>
        </w:rPr>
        <w:t xml:space="preserve">        </w:t>
      </w:r>
      <w:r w:rsidRPr="00570FE6">
        <w:rPr>
          <w:b w:val="0"/>
          <w:bCs w:val="0"/>
          <w:i/>
          <w:color w:val="252525"/>
          <w:sz w:val="26"/>
          <w:bdr w:val="none" w:sz="0" w:space="0" w:color="auto" w:frame="1"/>
        </w:rPr>
        <w:t xml:space="preserve">Dự báo </w:t>
      </w:r>
      <w:r w:rsidRPr="00570FE6">
        <w:rPr>
          <w:b w:val="0"/>
          <w:bCs w:val="0"/>
          <w:i/>
          <w:color w:val="252525"/>
          <w:sz w:val="26"/>
          <w:bdr w:val="none" w:sz="0" w:space="0" w:color="auto" w:frame="1"/>
          <w:lang w:val="en-US"/>
        </w:rPr>
        <w:t xml:space="preserve">các chỉ tiêu </w:t>
      </w:r>
      <w:r w:rsidRPr="00570FE6">
        <w:rPr>
          <w:b w:val="0"/>
          <w:bCs w:val="0"/>
          <w:i/>
          <w:color w:val="252525"/>
          <w:sz w:val="26"/>
          <w:bdr w:val="none" w:sz="0" w:space="0" w:color="auto" w:frame="1"/>
        </w:rPr>
        <w:t>tài chính</w:t>
      </w:r>
      <w:r w:rsidRPr="00570FE6">
        <w:rPr>
          <w:b w:val="0"/>
          <w:bCs w:val="0"/>
          <w:i/>
          <w:color w:val="252525"/>
          <w:sz w:val="26"/>
        </w:rPr>
        <w:t> là việc dự báo về các chỉ tiêu cơ bản trên báo cáo tài chính của các kì kinh doanh sắp tới</w:t>
      </w:r>
      <w:r w:rsidRPr="00570FE6">
        <w:rPr>
          <w:b w:val="0"/>
          <w:bCs w:val="0"/>
          <w:i/>
          <w:color w:val="252525"/>
          <w:sz w:val="26"/>
          <w:lang w:val="en-US"/>
        </w:rPr>
        <w:t>. Dự báo các chỉ tiêu tài chính là căn cứ quan trọng để</w:t>
      </w:r>
      <w:r w:rsidRPr="00570FE6">
        <w:rPr>
          <w:b w:val="0"/>
          <w:bCs w:val="0"/>
          <w:i/>
          <w:color w:val="252525"/>
          <w:sz w:val="26"/>
        </w:rPr>
        <w:t xml:space="preserve"> xác định nhu cầu </w:t>
      </w:r>
      <w:r w:rsidRPr="00570FE6">
        <w:rPr>
          <w:b w:val="0"/>
          <w:bCs w:val="0"/>
          <w:i/>
          <w:color w:val="252525"/>
          <w:sz w:val="26"/>
          <w:lang w:val="en-US"/>
        </w:rPr>
        <w:t xml:space="preserve">về </w:t>
      </w:r>
      <w:r w:rsidRPr="00570FE6">
        <w:rPr>
          <w:b w:val="0"/>
          <w:bCs w:val="0"/>
          <w:i/>
          <w:color w:val="252525"/>
          <w:sz w:val="26"/>
        </w:rPr>
        <w:t>vốn cho doanh nghiệp. Một trong những mục tiêu cơ bản của phân tích báo cáo tài chính là dựa vào số liệu quá khứ</w:t>
      </w:r>
      <w:r w:rsidRPr="00570FE6">
        <w:rPr>
          <w:b w:val="0"/>
          <w:bCs w:val="0"/>
          <w:i/>
          <w:color w:val="252525"/>
          <w:sz w:val="26"/>
          <w:lang w:val="en-US"/>
        </w:rPr>
        <w:t>, nhìn nhận hiện tại và</w:t>
      </w:r>
      <w:r w:rsidRPr="00570FE6">
        <w:rPr>
          <w:b w:val="0"/>
          <w:bCs w:val="0"/>
          <w:i/>
          <w:color w:val="252525"/>
          <w:sz w:val="26"/>
        </w:rPr>
        <w:t xml:space="preserve"> dự báo </w:t>
      </w:r>
      <w:r w:rsidRPr="00570FE6">
        <w:rPr>
          <w:b w:val="0"/>
          <w:bCs w:val="0"/>
          <w:i/>
          <w:color w:val="252525"/>
          <w:sz w:val="26"/>
          <w:lang w:val="en-US"/>
        </w:rPr>
        <w:t xml:space="preserve">các chỉ tiêu tài chính của </w:t>
      </w:r>
      <w:r w:rsidRPr="00570FE6">
        <w:rPr>
          <w:b w:val="0"/>
          <w:bCs w:val="0"/>
          <w:i/>
          <w:color w:val="252525"/>
          <w:sz w:val="26"/>
        </w:rPr>
        <w:t>doanh nghiệp</w:t>
      </w:r>
      <w:r w:rsidRPr="00570FE6">
        <w:rPr>
          <w:b w:val="0"/>
          <w:bCs w:val="0"/>
          <w:i/>
          <w:color w:val="252525"/>
          <w:sz w:val="26"/>
          <w:lang w:val="en-US"/>
        </w:rPr>
        <w:t xml:space="preserve"> trong tương lai</w:t>
      </w:r>
      <w:r w:rsidRPr="00570FE6">
        <w:rPr>
          <w:b w:val="0"/>
          <w:bCs w:val="0"/>
          <w:i/>
          <w:color w:val="252525"/>
          <w:sz w:val="26"/>
        </w:rPr>
        <w:t>.</w:t>
      </w:r>
      <w:r w:rsidRPr="00570FE6">
        <w:rPr>
          <w:b w:val="0"/>
          <w:bCs w:val="0"/>
          <w:i/>
          <w:color w:val="252525"/>
          <w:sz w:val="26"/>
          <w:lang w:val="en-US"/>
        </w:rPr>
        <w:t xml:space="preserve"> </w:t>
      </w:r>
      <w:proofErr w:type="gramStart"/>
      <w:r w:rsidRPr="00570FE6">
        <w:rPr>
          <w:b w:val="0"/>
          <w:bCs w:val="0"/>
          <w:i/>
          <w:color w:val="252525"/>
          <w:sz w:val="26"/>
          <w:lang w:val="en-US"/>
        </w:rPr>
        <w:t>Có thể nói dự báo tài chính là mối quan tâm của người sử dụng thông tin trong suốt quá trình hoạt động sản xuất kinh doanh của doanh nghiệp.</w:t>
      </w:r>
      <w:proofErr w:type="gramEnd"/>
    </w:p>
    <w:p w:rsidR="00745BDA" w:rsidRDefault="00745BDA" w:rsidP="00603806">
      <w:pPr>
        <w:spacing w:line="312" w:lineRule="auto"/>
        <w:ind w:firstLine="720"/>
        <w:jc w:val="both"/>
        <w:rPr>
          <w:sz w:val="26"/>
          <w:szCs w:val="26"/>
        </w:rPr>
      </w:pPr>
      <w:r w:rsidRPr="00570FE6">
        <w:rPr>
          <w:sz w:val="26"/>
          <w:szCs w:val="26"/>
        </w:rPr>
        <w:t>Trong thực tiễn có hai phương pháp</w:t>
      </w:r>
      <w:r w:rsidR="00603806" w:rsidRPr="00570FE6">
        <w:rPr>
          <w:sz w:val="26"/>
          <w:szCs w:val="26"/>
        </w:rPr>
        <w:t xml:space="preserve"> cơ bản để lập dự báo tài chính</w:t>
      </w:r>
    </w:p>
    <w:p w:rsidR="007A2E28" w:rsidRPr="00570FE6" w:rsidRDefault="007A2E28" w:rsidP="007A2E28">
      <w:pPr>
        <w:spacing w:line="312" w:lineRule="auto"/>
        <w:jc w:val="both"/>
        <w:rPr>
          <w:sz w:val="26"/>
          <w:szCs w:val="26"/>
        </w:rPr>
      </w:pPr>
      <w:r>
        <w:rPr>
          <w:b/>
          <w:bCs/>
          <w:color w:val="252525"/>
          <w:sz w:val="26"/>
          <w:szCs w:val="26"/>
          <w:bdr w:val="none" w:sz="0" w:space="0" w:color="auto" w:frame="1"/>
        </w:rPr>
        <w:t>1. Các p</w:t>
      </w:r>
      <w:r w:rsidRPr="00570FE6">
        <w:rPr>
          <w:b/>
          <w:bCs/>
          <w:color w:val="252525"/>
          <w:sz w:val="26"/>
          <w:szCs w:val="26"/>
          <w:bdr w:val="none" w:sz="0" w:space="0" w:color="auto" w:frame="1"/>
        </w:rPr>
        <w:t>hương pháp dự báo tài chính</w:t>
      </w:r>
    </w:p>
    <w:p w:rsidR="00745BDA" w:rsidRPr="00570FE6" w:rsidRDefault="007A2E28" w:rsidP="00745BDA">
      <w:pPr>
        <w:pStyle w:val="NormalWeb"/>
        <w:spacing w:before="0" w:beforeAutospacing="0" w:after="0" w:afterAutospacing="0" w:line="312" w:lineRule="auto"/>
        <w:jc w:val="both"/>
        <w:rPr>
          <w:b/>
          <w:bCs/>
          <w:color w:val="252525"/>
          <w:sz w:val="26"/>
          <w:szCs w:val="26"/>
          <w:bdr w:val="none" w:sz="0" w:space="0" w:color="auto" w:frame="1"/>
        </w:rPr>
      </w:pPr>
      <w:r>
        <w:rPr>
          <w:b/>
          <w:bCs/>
          <w:color w:val="252525"/>
          <w:sz w:val="26"/>
          <w:szCs w:val="26"/>
          <w:bdr w:val="none" w:sz="0" w:space="0" w:color="auto" w:frame="1"/>
        </w:rPr>
        <w:t xml:space="preserve">1.1. </w:t>
      </w:r>
      <w:r w:rsidR="00745BDA" w:rsidRPr="00570FE6">
        <w:rPr>
          <w:b/>
          <w:bCs/>
          <w:color w:val="252525"/>
          <w:sz w:val="26"/>
          <w:szCs w:val="26"/>
          <w:bdr w:val="none" w:sz="0" w:space="0" w:color="auto" w:frame="1"/>
        </w:rPr>
        <w:t>Phương pháp dự báo tài chính trên cơ sở kế hoạch hoạt động chi tiết của doanh nghiệp</w:t>
      </w:r>
    </w:p>
    <w:p w:rsidR="00745BDA" w:rsidRPr="00570FE6" w:rsidRDefault="00745BDA" w:rsidP="00745BDA">
      <w:pPr>
        <w:pStyle w:val="NormalWeb"/>
        <w:spacing w:before="0" w:beforeAutospacing="0" w:after="0" w:afterAutospacing="0" w:line="312" w:lineRule="auto"/>
        <w:ind w:firstLine="720"/>
        <w:jc w:val="both"/>
        <w:rPr>
          <w:color w:val="252525"/>
          <w:sz w:val="26"/>
          <w:szCs w:val="26"/>
        </w:rPr>
      </w:pPr>
      <w:proofErr w:type="gramStart"/>
      <w:r w:rsidRPr="00570FE6">
        <w:rPr>
          <w:color w:val="252525"/>
          <w:sz w:val="26"/>
          <w:szCs w:val="26"/>
          <w:bdr w:val="none" w:sz="0" w:space="0" w:color="auto" w:frame="1"/>
        </w:rPr>
        <w:t>Phương pháp dự báo trên cơ sở kế hoạch hoạt động chi tiết chỉ sử dụng trong nội bộ doanh nghiệp.</w:t>
      </w:r>
      <w:proofErr w:type="gramEnd"/>
      <w:r w:rsidRPr="00570FE6">
        <w:rPr>
          <w:color w:val="252525"/>
          <w:sz w:val="26"/>
          <w:szCs w:val="26"/>
          <w:bdr w:val="none" w:sz="0" w:space="0" w:color="auto" w:frame="1"/>
        </w:rPr>
        <w:t xml:space="preserve"> </w:t>
      </w:r>
      <w:proofErr w:type="gramStart"/>
      <w:r w:rsidRPr="00570FE6">
        <w:rPr>
          <w:color w:val="252525"/>
          <w:sz w:val="26"/>
          <w:szCs w:val="26"/>
          <w:bdr w:val="none" w:sz="0" w:space="0" w:color="auto" w:frame="1"/>
        </w:rPr>
        <w:t>Theo phương pháp này, dự báo tài chính được thực hiện thông qua việc lập dự toán hoạt động sản xuất kinh doanh của doanh nghiệp.</w:t>
      </w:r>
      <w:proofErr w:type="gramEnd"/>
      <w:r w:rsidRPr="00570FE6">
        <w:rPr>
          <w:color w:val="252525"/>
          <w:sz w:val="26"/>
          <w:szCs w:val="26"/>
          <w:bdr w:val="none" w:sz="0" w:space="0" w:color="auto" w:frame="1"/>
        </w:rPr>
        <w:t xml:space="preserve"> Căn cứ các định mức về chi phí và kế hoạch hoạt động cụ thể, doanh nghiệp lập dự toán theo từng khoản mục chi phí hoạt động kinh doanh (theo từng yếu tố, từng địa điểm phát sinh), kết hợp với dự toán tiêu thụ để lần lượt lập dự toán tiền, dự toán báo cáo kết quả kinh doanh, dự toán báo cáo tài chính. </w:t>
      </w:r>
      <w:r w:rsidRPr="00570FE6">
        <w:rPr>
          <w:color w:val="252525"/>
          <w:sz w:val="26"/>
          <w:szCs w:val="26"/>
        </w:rPr>
        <w:t xml:space="preserve">Các bản dự toán này thường được lập cho thời gian một năm và chi tiết thành từng quí, tháng, nhằm xác định nhu cầu vốn bổ sung chính xác hơn và cụ thể hơn </w:t>
      </w:r>
      <w:proofErr w:type="gramStart"/>
      <w:r w:rsidRPr="00570FE6">
        <w:rPr>
          <w:color w:val="252525"/>
          <w:sz w:val="26"/>
          <w:szCs w:val="26"/>
        </w:rPr>
        <w:t>theo</w:t>
      </w:r>
      <w:proofErr w:type="gramEnd"/>
      <w:r w:rsidRPr="00570FE6">
        <w:rPr>
          <w:color w:val="252525"/>
          <w:sz w:val="26"/>
          <w:szCs w:val="26"/>
        </w:rPr>
        <w:t xml:space="preserve"> từng thời điểm trong năm (hình 9.1)</w:t>
      </w:r>
    </w:p>
    <w:p w:rsidR="00745BDA" w:rsidRDefault="00745BDA" w:rsidP="00570FE6">
      <w:pPr>
        <w:pStyle w:val="NormalWeb"/>
        <w:spacing w:before="0" w:beforeAutospacing="0" w:after="0" w:afterAutospacing="0" w:line="312" w:lineRule="auto"/>
        <w:jc w:val="both"/>
        <w:rPr>
          <w:color w:val="252525"/>
          <w:sz w:val="26"/>
          <w:szCs w:val="26"/>
        </w:rPr>
      </w:pPr>
      <w:r w:rsidRPr="00570FE6">
        <w:rPr>
          <w:color w:val="252525"/>
          <w:sz w:val="26"/>
          <w:szCs w:val="26"/>
        </w:rPr>
        <w:t xml:space="preserve"> </w:t>
      </w:r>
      <w:proofErr w:type="gramStart"/>
      <w:r w:rsidRPr="00570FE6">
        <w:rPr>
          <w:color w:val="252525"/>
          <w:sz w:val="26"/>
          <w:szCs w:val="26"/>
        </w:rPr>
        <w:t>Lưu ý, dự báo tài chính chỉ là một trong số rất nhiều tác dụng của phương pháp dự báo trên cơ sở các kế hoạch hoạt động cụ thể của doanh nghiệp.</w:t>
      </w:r>
      <w:proofErr w:type="gramEnd"/>
      <w:r w:rsidRPr="00570FE6">
        <w:rPr>
          <w:color w:val="252525"/>
          <w:sz w:val="26"/>
          <w:szCs w:val="26"/>
        </w:rPr>
        <w:t xml:space="preserve"> </w:t>
      </w:r>
      <w:proofErr w:type="gramStart"/>
      <w:r w:rsidRPr="00570FE6">
        <w:rPr>
          <w:color w:val="252525"/>
          <w:sz w:val="26"/>
          <w:szCs w:val="26"/>
        </w:rPr>
        <w:t>Với các bản dự toán chi tiết, từng bộ phận hoạt động trong doanh nghiệp đều phải chủ động lập kế hoạch kinh doanh, thực hiện kế hoạch và đánh giá việc thực hiện kế hoạch.</w:t>
      </w:r>
      <w:proofErr w:type="gramEnd"/>
      <w:r w:rsidRPr="00570FE6">
        <w:rPr>
          <w:color w:val="252525"/>
          <w:sz w:val="26"/>
          <w:szCs w:val="26"/>
        </w:rPr>
        <w:t xml:space="preserve"> </w:t>
      </w:r>
      <w:proofErr w:type="gramStart"/>
      <w:r w:rsidRPr="00570FE6">
        <w:rPr>
          <w:color w:val="252525"/>
          <w:sz w:val="26"/>
          <w:szCs w:val="26"/>
        </w:rPr>
        <w:t>Phương pháp dự báo trên cơ sở kế hoạch hoạt động chi tiết cần thiết và hữu ích cho việc quản trị tài chính trong nội bộ doanh nghiệp.</w:t>
      </w:r>
      <w:proofErr w:type="gramEnd"/>
    </w:p>
    <w:p w:rsidR="007A2E28" w:rsidRDefault="007A2E28" w:rsidP="00570FE6">
      <w:pPr>
        <w:pStyle w:val="NormalWeb"/>
        <w:spacing w:before="0" w:beforeAutospacing="0" w:after="0" w:afterAutospacing="0" w:line="312" w:lineRule="auto"/>
        <w:jc w:val="both"/>
        <w:rPr>
          <w:color w:val="252525"/>
          <w:sz w:val="26"/>
          <w:szCs w:val="26"/>
        </w:rPr>
      </w:pPr>
    </w:p>
    <w:p w:rsidR="007A2E28" w:rsidRPr="00570FE6" w:rsidRDefault="007A2E28" w:rsidP="00570FE6">
      <w:pPr>
        <w:pStyle w:val="NormalWeb"/>
        <w:spacing w:before="0" w:beforeAutospacing="0" w:after="0" w:afterAutospacing="0" w:line="312" w:lineRule="auto"/>
        <w:jc w:val="both"/>
        <w:rPr>
          <w:b/>
          <w:bCs/>
          <w:color w:val="252525"/>
          <w:sz w:val="26"/>
          <w:szCs w:val="26"/>
          <w:bdr w:val="none" w:sz="0" w:space="0" w:color="auto" w:frame="1"/>
        </w:rPr>
      </w:pPr>
    </w:p>
    <w:p w:rsidR="00745BDA" w:rsidRPr="00570FE6" w:rsidRDefault="00953661" w:rsidP="00745BDA">
      <w:pPr>
        <w:pStyle w:val="NormalWeb"/>
        <w:spacing w:before="0" w:beforeAutospacing="0" w:after="0" w:afterAutospacing="0" w:line="312" w:lineRule="auto"/>
        <w:rPr>
          <w:b/>
          <w:bCs/>
          <w:color w:val="252525"/>
          <w:sz w:val="26"/>
          <w:szCs w:val="26"/>
          <w:bdr w:val="none" w:sz="0" w:space="0" w:color="auto" w:frame="1"/>
        </w:rPr>
      </w:pPr>
      <w:r>
        <w:rPr>
          <w:b/>
          <w:bCs/>
          <w:color w:val="252525"/>
          <w:sz w:val="26"/>
          <w:szCs w:val="26"/>
          <w:bdr w:val="none" w:sz="0" w:space="0" w:color="auto" w:frame="1"/>
        </w:rPr>
        <w:t>1.</w:t>
      </w:r>
      <w:r w:rsidR="00745BDA" w:rsidRPr="00570FE6">
        <w:rPr>
          <w:b/>
          <w:bCs/>
          <w:color w:val="252525"/>
          <w:sz w:val="26"/>
          <w:szCs w:val="26"/>
          <w:bdr w:val="none" w:sz="0" w:space="0" w:color="auto" w:frame="1"/>
        </w:rPr>
        <w:t xml:space="preserve">2. Phương pháp dự báo tài chính </w:t>
      </w:r>
      <w:proofErr w:type="gramStart"/>
      <w:r w:rsidR="00745BDA" w:rsidRPr="00570FE6">
        <w:rPr>
          <w:b/>
          <w:bCs/>
          <w:color w:val="252525"/>
          <w:sz w:val="26"/>
          <w:szCs w:val="26"/>
          <w:bdr w:val="none" w:sz="0" w:space="0" w:color="auto" w:frame="1"/>
        </w:rPr>
        <w:t>theo</w:t>
      </w:r>
      <w:proofErr w:type="gramEnd"/>
      <w:r w:rsidR="00745BDA" w:rsidRPr="00570FE6">
        <w:rPr>
          <w:b/>
          <w:bCs/>
          <w:color w:val="252525"/>
          <w:sz w:val="26"/>
          <w:szCs w:val="26"/>
          <w:bdr w:val="none" w:sz="0" w:space="0" w:color="auto" w:frame="1"/>
        </w:rPr>
        <w:t xml:space="preserve"> tỉ lệ phần trăm trên doanh thu</w:t>
      </w:r>
    </w:p>
    <w:p w:rsidR="00745BDA" w:rsidRPr="00570FE6" w:rsidRDefault="00745BDA" w:rsidP="00745BDA">
      <w:pPr>
        <w:pStyle w:val="NormalWeb"/>
        <w:spacing w:before="0" w:beforeAutospacing="0" w:after="195" w:afterAutospacing="0" w:line="312" w:lineRule="auto"/>
        <w:ind w:firstLine="720"/>
        <w:jc w:val="both"/>
        <w:rPr>
          <w:color w:val="252525"/>
          <w:sz w:val="26"/>
          <w:szCs w:val="26"/>
        </w:rPr>
      </w:pPr>
      <w:proofErr w:type="gramStart"/>
      <w:r w:rsidRPr="00570FE6">
        <w:rPr>
          <w:color w:val="252525"/>
          <w:sz w:val="26"/>
          <w:szCs w:val="26"/>
        </w:rPr>
        <w:t>Phương pháp dự báo này được sử dụng cho cả trong và ngoài doanh nghiệp.</w:t>
      </w:r>
      <w:proofErr w:type="gramEnd"/>
      <w:r w:rsidRPr="00570FE6">
        <w:rPr>
          <w:color w:val="252525"/>
          <w:sz w:val="26"/>
          <w:szCs w:val="26"/>
        </w:rPr>
        <w:t xml:space="preserve"> </w:t>
      </w:r>
      <w:proofErr w:type="gramStart"/>
      <w:r w:rsidRPr="00570FE6">
        <w:rPr>
          <w:color w:val="252525"/>
          <w:sz w:val="26"/>
          <w:szCs w:val="26"/>
        </w:rPr>
        <w:t>phương</w:t>
      </w:r>
      <w:proofErr w:type="gramEnd"/>
      <w:r w:rsidRPr="00570FE6">
        <w:rPr>
          <w:color w:val="252525"/>
          <w:sz w:val="26"/>
          <w:szCs w:val="26"/>
        </w:rPr>
        <w:t xml:space="preserve"> pháp này tập trung vào trực tiếp dự báo các chỉ tiêu báo cáo tài chính theo tỉ lệ phần trăm trên doanh thu thay vì nghiên cứu chi tiết từng yếu tố chi phí cũng như các kế hoạch hoạt động cụ thể của doanh nghiệp. Phương pháp dự báo tài chính này được thực hiện dựa trên cơ sở giả định các chỉ tiêu trên báo cáo tài chính thay đổi </w:t>
      </w:r>
      <w:proofErr w:type="gramStart"/>
      <w:r w:rsidRPr="00570FE6">
        <w:rPr>
          <w:color w:val="252525"/>
          <w:sz w:val="26"/>
          <w:szCs w:val="26"/>
        </w:rPr>
        <w:t>theo</w:t>
      </w:r>
      <w:proofErr w:type="gramEnd"/>
      <w:r w:rsidRPr="00570FE6">
        <w:rPr>
          <w:color w:val="252525"/>
          <w:sz w:val="26"/>
          <w:szCs w:val="26"/>
        </w:rPr>
        <w:t xml:space="preserve"> một tỉ lệ nhất định so với mức doanh thu đạt được của doanh nghiệp. Doanh </w:t>
      </w:r>
      <w:proofErr w:type="gramStart"/>
      <w:r w:rsidRPr="00570FE6">
        <w:rPr>
          <w:color w:val="252525"/>
          <w:sz w:val="26"/>
          <w:szCs w:val="26"/>
        </w:rPr>
        <w:t>thu</w:t>
      </w:r>
      <w:proofErr w:type="gramEnd"/>
      <w:r w:rsidRPr="00570FE6">
        <w:rPr>
          <w:color w:val="252525"/>
          <w:sz w:val="26"/>
          <w:szCs w:val="26"/>
        </w:rPr>
        <w:t xml:space="preserve"> thay đổi kéo theo sự thay đổi của chi phí kinh doanh và lợi nhuận, từ đó làm thay đổi vốn chủ sở hữu và các tài sản cần thiết cho hoạt động kinh doanh của doanh nghiệp.</w:t>
      </w:r>
    </w:p>
    <w:p w:rsidR="00745BDA" w:rsidRPr="00570FE6" w:rsidRDefault="00745BDA" w:rsidP="00745BDA">
      <w:pPr>
        <w:spacing w:line="312" w:lineRule="auto"/>
        <w:jc w:val="both"/>
        <w:rPr>
          <w:sz w:val="26"/>
          <w:szCs w:val="26"/>
        </w:rPr>
      </w:pPr>
      <w:r w:rsidRPr="00570FE6">
        <w:rPr>
          <w:sz w:val="26"/>
          <w:szCs w:val="26"/>
        </w:rPr>
        <w:tab/>
        <w:t xml:space="preserve">Khác với phương pháp dự báo tài chính trên cơ sở các kế hoạch hoạt động chi tiết thường được thực hiện cho một năm và chi tiết thành các quý, tháng; các báo cáo tài chính </w:t>
      </w:r>
      <w:proofErr w:type="gramStart"/>
      <w:r w:rsidRPr="00570FE6">
        <w:rPr>
          <w:sz w:val="26"/>
          <w:szCs w:val="26"/>
        </w:rPr>
        <w:t>theo</w:t>
      </w:r>
      <w:proofErr w:type="gramEnd"/>
      <w:r w:rsidRPr="00570FE6">
        <w:rPr>
          <w:sz w:val="26"/>
          <w:szCs w:val="26"/>
        </w:rPr>
        <w:t xml:space="preserve"> phương pháp tỉ lệ phần trăm trên doanh thu có thể lập thời gian dài hơn như 05 năm hoặc 10 năm. </w:t>
      </w:r>
      <w:proofErr w:type="gramStart"/>
      <w:r w:rsidRPr="00570FE6">
        <w:rPr>
          <w:sz w:val="26"/>
          <w:szCs w:val="26"/>
        </w:rPr>
        <w:t>Tuy nhiên mức độ chính xác của dự báo tài chính sẽ càng giảm dần khi thời gian dự báo càng dài.</w:t>
      </w:r>
      <w:proofErr w:type="gramEnd"/>
    </w:p>
    <w:p w:rsidR="00745BDA" w:rsidRPr="00570FE6" w:rsidRDefault="007A2E28" w:rsidP="00745BDA">
      <w:pPr>
        <w:spacing w:line="312" w:lineRule="auto"/>
        <w:rPr>
          <w:b/>
          <w:bCs/>
          <w:color w:val="000000" w:themeColor="text1"/>
          <w:sz w:val="26"/>
          <w:szCs w:val="26"/>
        </w:rPr>
      </w:pPr>
      <w:proofErr w:type="gramStart"/>
      <w:r>
        <w:rPr>
          <w:b/>
          <w:bCs/>
          <w:color w:val="000000" w:themeColor="text1"/>
          <w:sz w:val="26"/>
          <w:szCs w:val="26"/>
        </w:rPr>
        <w:t>2.D</w:t>
      </w:r>
      <w:r w:rsidRPr="00570FE6">
        <w:rPr>
          <w:b/>
          <w:bCs/>
          <w:color w:val="000000" w:themeColor="text1"/>
          <w:sz w:val="26"/>
          <w:szCs w:val="26"/>
        </w:rPr>
        <w:t>ự</w:t>
      </w:r>
      <w:proofErr w:type="gramEnd"/>
      <w:r w:rsidRPr="00570FE6">
        <w:rPr>
          <w:b/>
          <w:bCs/>
          <w:color w:val="000000" w:themeColor="text1"/>
          <w:sz w:val="26"/>
          <w:szCs w:val="26"/>
        </w:rPr>
        <w:t xml:space="preserve"> báo các chỉ tiêu trên báo cáo kết quả hoạt động  </w:t>
      </w:r>
    </w:p>
    <w:p w:rsidR="00745BDA" w:rsidRPr="00570FE6" w:rsidRDefault="00745BDA" w:rsidP="00745BDA">
      <w:pPr>
        <w:spacing w:line="312" w:lineRule="auto"/>
        <w:rPr>
          <w:b/>
          <w:bCs/>
          <w:color w:val="000000" w:themeColor="text1"/>
          <w:sz w:val="26"/>
          <w:szCs w:val="26"/>
        </w:rPr>
      </w:pPr>
      <w:r w:rsidRPr="00570FE6">
        <w:rPr>
          <w:b/>
          <w:bCs/>
          <w:color w:val="000000" w:themeColor="text1"/>
          <w:sz w:val="26"/>
          <w:szCs w:val="26"/>
        </w:rPr>
        <w:t>2.1</w:t>
      </w:r>
      <w:proofErr w:type="gramStart"/>
      <w:r w:rsidRPr="00570FE6">
        <w:rPr>
          <w:b/>
          <w:bCs/>
          <w:color w:val="000000" w:themeColor="text1"/>
          <w:sz w:val="26"/>
          <w:szCs w:val="26"/>
        </w:rPr>
        <w:t>.  Mối</w:t>
      </w:r>
      <w:proofErr w:type="gramEnd"/>
      <w:r w:rsidRPr="00570FE6">
        <w:rPr>
          <w:b/>
          <w:bCs/>
          <w:color w:val="000000" w:themeColor="text1"/>
          <w:sz w:val="26"/>
          <w:szCs w:val="26"/>
        </w:rPr>
        <w:t xml:space="preserve"> liên hệ giữa các chỉ tiêu trên báo cáo kết quả hoạt động với doanh thu</w:t>
      </w:r>
    </w:p>
    <w:p w:rsidR="00745BDA" w:rsidRPr="00570FE6" w:rsidRDefault="00745BDA" w:rsidP="00745BDA">
      <w:pPr>
        <w:spacing w:line="312" w:lineRule="auto"/>
        <w:ind w:firstLine="720"/>
        <w:jc w:val="both"/>
        <w:rPr>
          <w:sz w:val="26"/>
          <w:szCs w:val="26"/>
        </w:rPr>
      </w:pPr>
      <w:r w:rsidRPr="00570FE6">
        <w:rPr>
          <w:sz w:val="26"/>
          <w:szCs w:val="26"/>
        </w:rPr>
        <w:t xml:space="preserve">Căn cứ vào tình hình cụ thể tại từng doanh nghiệp và dựa vào số liệu phản ánh trên BCKQKD qua nhiều kỳ, các nhà phân tích tiến hành xem xét mối quan hệ giữa doanh </w:t>
      </w:r>
      <w:proofErr w:type="gramStart"/>
      <w:r w:rsidRPr="00570FE6">
        <w:rPr>
          <w:sz w:val="26"/>
          <w:szCs w:val="26"/>
        </w:rPr>
        <w:t>thu</w:t>
      </w:r>
      <w:proofErr w:type="gramEnd"/>
      <w:r w:rsidRPr="00570FE6">
        <w:rPr>
          <w:sz w:val="26"/>
          <w:szCs w:val="26"/>
        </w:rPr>
        <w:t xml:space="preserve"> thuần bán hàng và cung cấp dịch vụ với các chỉ tiêu tài chính phản ánh trên BCKQKD như sau:</w:t>
      </w:r>
    </w:p>
    <w:p w:rsidR="00745BDA" w:rsidRPr="00570FE6" w:rsidRDefault="00745BDA" w:rsidP="00745BDA">
      <w:pPr>
        <w:spacing w:line="312" w:lineRule="auto"/>
        <w:jc w:val="both"/>
        <w:rPr>
          <w:sz w:val="26"/>
          <w:szCs w:val="26"/>
        </w:rPr>
      </w:pPr>
      <w:r w:rsidRPr="00570FE6">
        <w:rPr>
          <w:sz w:val="26"/>
          <w:szCs w:val="26"/>
        </w:rPr>
        <w:t xml:space="preserve">- Những chỉ tiêu có quan hệ cùng chiều với doanh </w:t>
      </w:r>
      <w:proofErr w:type="gramStart"/>
      <w:r w:rsidRPr="00570FE6">
        <w:rPr>
          <w:sz w:val="26"/>
          <w:szCs w:val="26"/>
        </w:rPr>
        <w:t>thu</w:t>
      </w:r>
      <w:proofErr w:type="gramEnd"/>
      <w:r w:rsidRPr="00570FE6">
        <w:rPr>
          <w:sz w:val="26"/>
          <w:szCs w:val="26"/>
        </w:rPr>
        <w:t xml:space="preserve"> thuần bán hàng và cung cấp dịch vụ và thường chiếm một tỷ lệ nhất định so với doanh thu bán hàng và cung cấp dịch vụ. Thông thường, khi doanh </w:t>
      </w:r>
      <w:proofErr w:type="gramStart"/>
      <w:r w:rsidRPr="00570FE6">
        <w:rPr>
          <w:sz w:val="26"/>
          <w:szCs w:val="26"/>
        </w:rPr>
        <w:t>thu</w:t>
      </w:r>
      <w:proofErr w:type="gramEnd"/>
      <w:r w:rsidRPr="00570FE6">
        <w:rPr>
          <w:sz w:val="26"/>
          <w:szCs w:val="26"/>
        </w:rPr>
        <w:t xml:space="preserve"> bán hàng và cung cấp dịch vụ thay đổi (tăng hoặc giảm), các chỉ tiêu tài chính sau đây trên BCKQKD cũng thay đổi cùng chiều (tăng hoặc giảm như:</w:t>
      </w:r>
    </w:p>
    <w:p w:rsidR="00745BDA" w:rsidRPr="00570FE6" w:rsidRDefault="00745BDA" w:rsidP="00745BDA">
      <w:pPr>
        <w:spacing w:line="312" w:lineRule="auto"/>
        <w:ind w:left="709"/>
        <w:jc w:val="both"/>
        <w:rPr>
          <w:sz w:val="26"/>
          <w:szCs w:val="26"/>
        </w:rPr>
      </w:pPr>
      <w:r w:rsidRPr="00570FE6">
        <w:rPr>
          <w:sz w:val="26"/>
          <w:szCs w:val="26"/>
        </w:rPr>
        <w:t xml:space="preserve">+ Doanh </w:t>
      </w:r>
      <w:proofErr w:type="gramStart"/>
      <w:r w:rsidRPr="00570FE6">
        <w:rPr>
          <w:sz w:val="26"/>
          <w:szCs w:val="26"/>
        </w:rPr>
        <w:t>thu</w:t>
      </w:r>
      <w:proofErr w:type="gramEnd"/>
      <w:r w:rsidRPr="00570FE6">
        <w:rPr>
          <w:sz w:val="26"/>
          <w:szCs w:val="26"/>
        </w:rPr>
        <w:t xml:space="preserve"> bán hàng và cung cấp dịch vụ;</w:t>
      </w:r>
    </w:p>
    <w:p w:rsidR="00745BDA" w:rsidRPr="00570FE6" w:rsidRDefault="00745BDA" w:rsidP="00745BDA">
      <w:pPr>
        <w:spacing w:line="312" w:lineRule="auto"/>
        <w:ind w:left="709"/>
        <w:jc w:val="both"/>
        <w:rPr>
          <w:sz w:val="26"/>
          <w:szCs w:val="26"/>
        </w:rPr>
      </w:pPr>
      <w:r w:rsidRPr="00570FE6">
        <w:rPr>
          <w:sz w:val="26"/>
          <w:szCs w:val="26"/>
        </w:rPr>
        <w:t xml:space="preserve">+ Các khoản giảm trừ doanh </w:t>
      </w:r>
      <w:proofErr w:type="gramStart"/>
      <w:r w:rsidRPr="00570FE6">
        <w:rPr>
          <w:sz w:val="26"/>
          <w:szCs w:val="26"/>
        </w:rPr>
        <w:t>thu</w:t>
      </w:r>
      <w:proofErr w:type="gramEnd"/>
      <w:r w:rsidRPr="00570FE6">
        <w:rPr>
          <w:sz w:val="26"/>
          <w:szCs w:val="26"/>
        </w:rPr>
        <w:t>;</w:t>
      </w:r>
    </w:p>
    <w:p w:rsidR="00745BDA" w:rsidRPr="00570FE6" w:rsidRDefault="00745BDA" w:rsidP="00745BDA">
      <w:pPr>
        <w:spacing w:line="312" w:lineRule="auto"/>
        <w:ind w:left="709"/>
        <w:jc w:val="both"/>
        <w:rPr>
          <w:sz w:val="26"/>
          <w:szCs w:val="26"/>
        </w:rPr>
      </w:pPr>
      <w:r w:rsidRPr="00570FE6">
        <w:rPr>
          <w:sz w:val="26"/>
          <w:szCs w:val="26"/>
        </w:rPr>
        <w:t>+ Giá vốn hàng bán;</w:t>
      </w:r>
    </w:p>
    <w:p w:rsidR="00745BDA" w:rsidRPr="00570FE6" w:rsidRDefault="00745BDA" w:rsidP="00745BDA">
      <w:pPr>
        <w:spacing w:line="312" w:lineRule="auto"/>
        <w:ind w:left="709"/>
        <w:jc w:val="both"/>
        <w:rPr>
          <w:sz w:val="26"/>
          <w:szCs w:val="26"/>
        </w:rPr>
      </w:pPr>
      <w:r w:rsidRPr="00570FE6">
        <w:rPr>
          <w:sz w:val="26"/>
          <w:szCs w:val="26"/>
        </w:rPr>
        <w:t>+ Lợi nhuận gộp về bán hàng và cung cấp dịch vụ;</w:t>
      </w:r>
    </w:p>
    <w:p w:rsidR="00745BDA" w:rsidRPr="00570FE6" w:rsidRDefault="00745BDA" w:rsidP="00745BDA">
      <w:pPr>
        <w:spacing w:line="312" w:lineRule="auto"/>
        <w:ind w:left="709"/>
        <w:jc w:val="both"/>
        <w:rPr>
          <w:sz w:val="26"/>
          <w:szCs w:val="26"/>
        </w:rPr>
      </w:pPr>
      <w:r w:rsidRPr="00570FE6">
        <w:rPr>
          <w:sz w:val="26"/>
          <w:szCs w:val="26"/>
        </w:rPr>
        <w:t xml:space="preserve">+ Chi phí bán </w:t>
      </w:r>
      <w:proofErr w:type="gramStart"/>
      <w:r w:rsidRPr="00570FE6">
        <w:rPr>
          <w:sz w:val="26"/>
          <w:szCs w:val="26"/>
        </w:rPr>
        <w:t>hàng,……</w:t>
      </w:r>
      <w:proofErr w:type="gramEnd"/>
    </w:p>
    <w:p w:rsidR="00745BDA" w:rsidRPr="00570FE6" w:rsidRDefault="00745BDA" w:rsidP="00745BDA">
      <w:pPr>
        <w:spacing w:line="312" w:lineRule="auto"/>
        <w:jc w:val="both"/>
        <w:rPr>
          <w:sz w:val="26"/>
          <w:szCs w:val="26"/>
        </w:rPr>
      </w:pPr>
      <w:r w:rsidRPr="00570FE6">
        <w:rPr>
          <w:sz w:val="26"/>
          <w:szCs w:val="26"/>
        </w:rPr>
        <w:t xml:space="preserve">Các chỉ tiêu tài chính nói trên khi so với doanh </w:t>
      </w:r>
      <w:proofErr w:type="gramStart"/>
      <w:r w:rsidRPr="00570FE6">
        <w:rPr>
          <w:sz w:val="26"/>
          <w:szCs w:val="26"/>
        </w:rPr>
        <w:t>thu</w:t>
      </w:r>
      <w:proofErr w:type="gramEnd"/>
      <w:r w:rsidRPr="00570FE6">
        <w:rPr>
          <w:sz w:val="26"/>
          <w:szCs w:val="26"/>
        </w:rPr>
        <w:t xml:space="preserve"> bán hàng và cung cấp dịch vụ thường chiếm một tỷ lệ nhất định, xấp xỉ nhau qua các năm.</w:t>
      </w:r>
    </w:p>
    <w:p w:rsidR="00745BDA" w:rsidRPr="00570FE6" w:rsidRDefault="00745BDA" w:rsidP="00745BDA">
      <w:pPr>
        <w:spacing w:line="312" w:lineRule="auto"/>
        <w:ind w:firstLine="720"/>
        <w:jc w:val="both"/>
        <w:rPr>
          <w:sz w:val="26"/>
          <w:szCs w:val="26"/>
        </w:rPr>
      </w:pPr>
      <w:r w:rsidRPr="00570FE6">
        <w:rPr>
          <w:sz w:val="26"/>
          <w:szCs w:val="26"/>
        </w:rPr>
        <w:lastRenderedPageBreak/>
        <w:t xml:space="preserve">Doanh nghiệp có thể sử </w:t>
      </w:r>
      <w:r w:rsidRPr="00570FE6">
        <w:rPr>
          <w:color w:val="252525"/>
          <w:sz w:val="26"/>
          <w:szCs w:val="26"/>
          <w:bdr w:val="none" w:sz="0" w:space="0" w:color="auto" w:frame="1"/>
        </w:rPr>
        <w:t xml:space="preserve">phương pháp dự báo tài chính </w:t>
      </w:r>
      <w:proofErr w:type="gramStart"/>
      <w:r w:rsidRPr="00570FE6">
        <w:rPr>
          <w:color w:val="252525"/>
          <w:sz w:val="26"/>
          <w:szCs w:val="26"/>
          <w:bdr w:val="none" w:sz="0" w:space="0" w:color="auto" w:frame="1"/>
        </w:rPr>
        <w:t>theo</w:t>
      </w:r>
      <w:proofErr w:type="gramEnd"/>
      <w:r w:rsidRPr="00570FE6">
        <w:rPr>
          <w:color w:val="252525"/>
          <w:sz w:val="26"/>
          <w:szCs w:val="26"/>
          <w:bdr w:val="none" w:sz="0" w:space="0" w:color="auto" w:frame="1"/>
        </w:rPr>
        <w:t xml:space="preserve"> tỉ lệ phần trăm trên doanh thu</w:t>
      </w:r>
      <w:r w:rsidRPr="00570FE6">
        <w:rPr>
          <w:sz w:val="26"/>
          <w:szCs w:val="26"/>
        </w:rPr>
        <w:t xml:space="preserve"> trong một thời gian vài năm nên nhà phân tích cần xác định các chỉ tiêu biến đổi theo doanh thu và dự báo tỉ lệ phần trăm trên doanh thu của các chỉ tiêu đó.</w:t>
      </w:r>
    </w:p>
    <w:p w:rsidR="00745BDA" w:rsidRPr="00570FE6" w:rsidRDefault="00745BDA" w:rsidP="00745BDA">
      <w:pPr>
        <w:spacing w:line="312" w:lineRule="auto"/>
        <w:jc w:val="both"/>
        <w:rPr>
          <w:sz w:val="26"/>
          <w:szCs w:val="26"/>
        </w:rPr>
      </w:pPr>
      <w:r w:rsidRPr="00570FE6">
        <w:rPr>
          <w:sz w:val="26"/>
          <w:szCs w:val="26"/>
        </w:rPr>
        <w:t>- Ngoài những chỉ tiêu tài chính trên còn một số chỉ tiêu tài chính khác như chi phí tài chính, doanh thu hoạt động tài chính, thu nhập khác và lợi nhuận khác,…..cũng có mối quan hệ chặt chẽ khi lập BCKQKD dự báo, có thể thay đổi không cùng chiều hoặc không thay đổi theo doanh thu thuần bán hàng và cung cấp dịch vụ</w:t>
      </w:r>
    </w:p>
    <w:p w:rsidR="00745BDA" w:rsidRPr="00570FE6" w:rsidRDefault="00745BDA" w:rsidP="00745BDA">
      <w:pPr>
        <w:spacing w:line="312" w:lineRule="auto"/>
        <w:ind w:firstLine="720"/>
        <w:jc w:val="both"/>
        <w:rPr>
          <w:sz w:val="26"/>
          <w:szCs w:val="26"/>
        </w:rPr>
      </w:pPr>
      <w:r w:rsidRPr="00570FE6">
        <w:rPr>
          <w:sz w:val="26"/>
          <w:szCs w:val="26"/>
        </w:rPr>
        <w:t xml:space="preserve">Tóm lại, tùy theo mối quan hệ các chỉ tiêu với doanh thu thuần bán hàng và cung cấp dịch vụ, các nhà phân tích sẽ tiến hành xem xét và phân định các chỉ tiêu tài chính thành các nhóm khác nhau: nhóm những chỉ tiêu thay đổi cùng chiều, nhóm chỉ tiêu thay đổi không cùng chiều, hoặc thay đổi không rõ ràng. </w:t>
      </w:r>
      <w:proofErr w:type="gramStart"/>
      <w:r w:rsidRPr="00570FE6">
        <w:rPr>
          <w:sz w:val="26"/>
          <w:szCs w:val="26"/>
        </w:rPr>
        <w:t>Để đảm bảo độ chính xác các chỉ tiêu cần tham khảo số liệu của nhiều kỳ kinh doanh trước đó.</w:t>
      </w:r>
      <w:proofErr w:type="gramEnd"/>
    </w:p>
    <w:p w:rsidR="00745BDA" w:rsidRPr="00570FE6" w:rsidRDefault="00745BDA" w:rsidP="00745BDA">
      <w:pPr>
        <w:spacing w:line="312" w:lineRule="auto"/>
        <w:jc w:val="both"/>
        <w:outlineLvl w:val="2"/>
        <w:rPr>
          <w:b/>
          <w:sz w:val="26"/>
          <w:szCs w:val="26"/>
        </w:rPr>
      </w:pPr>
      <w:bookmarkStart w:id="0" w:name="_Toc422922046"/>
      <w:r w:rsidRPr="00570FE6">
        <w:rPr>
          <w:b/>
          <w:sz w:val="26"/>
          <w:szCs w:val="26"/>
        </w:rPr>
        <w:t>2.2. Phương pháp dự báo các chỉ tiêu trên báo cáo kết quả hoạt động (BCKQHĐ)</w:t>
      </w:r>
      <w:bookmarkEnd w:id="0"/>
    </w:p>
    <w:p w:rsidR="00745BDA" w:rsidRPr="00570FE6" w:rsidRDefault="00745BDA" w:rsidP="00745BDA">
      <w:pPr>
        <w:spacing w:line="312" w:lineRule="auto"/>
        <w:ind w:firstLine="720"/>
        <w:jc w:val="both"/>
        <w:rPr>
          <w:sz w:val="26"/>
          <w:szCs w:val="26"/>
        </w:rPr>
      </w:pPr>
      <w:r w:rsidRPr="00570FE6">
        <w:rPr>
          <w:sz w:val="26"/>
          <w:szCs w:val="26"/>
        </w:rPr>
        <w:t>Để dự báo BCKQHĐ, người ta phải dựa vào các giả thiết về doanh thu, giá vốn hàng bán, CPBH, chi phí QLDN và các chi phí tài chính trong mối quan hệ với các khoản tiền vay, các khoản đầu tư</w:t>
      </w:r>
      <w:proofErr w:type="gramStart"/>
      <w:r w:rsidRPr="00570FE6">
        <w:rPr>
          <w:sz w:val="26"/>
          <w:szCs w:val="26"/>
        </w:rPr>
        <w:t>,…</w:t>
      </w:r>
      <w:proofErr w:type="gramEnd"/>
    </w:p>
    <w:p w:rsidR="00745BDA" w:rsidRPr="00570FE6" w:rsidRDefault="00745BDA" w:rsidP="00745BDA">
      <w:pPr>
        <w:spacing w:line="312" w:lineRule="auto"/>
        <w:ind w:firstLine="720"/>
        <w:jc w:val="both"/>
        <w:rPr>
          <w:sz w:val="26"/>
          <w:szCs w:val="26"/>
        </w:rPr>
      </w:pPr>
      <w:r w:rsidRPr="00570FE6">
        <w:rPr>
          <w:sz w:val="26"/>
          <w:szCs w:val="26"/>
        </w:rPr>
        <w:t xml:space="preserve">BCKQHĐ dự báo dựa trên mẫu của BCKQHĐ thực tế </w:t>
      </w:r>
      <w:proofErr w:type="gramStart"/>
      <w:r w:rsidRPr="00570FE6">
        <w:rPr>
          <w:sz w:val="26"/>
          <w:szCs w:val="26"/>
        </w:rPr>
        <w:t>theo</w:t>
      </w:r>
      <w:proofErr w:type="gramEnd"/>
      <w:r w:rsidRPr="00570FE6">
        <w:rPr>
          <w:sz w:val="26"/>
          <w:szCs w:val="26"/>
        </w:rPr>
        <w:t xml:space="preserve"> nguyên tắc phù hợp giữa chi phí và doanh thu. Dự báo BCKQHĐ được bắt đầu từ việc dự báo doanh </w:t>
      </w:r>
      <w:proofErr w:type="gramStart"/>
      <w:r w:rsidRPr="00570FE6">
        <w:rPr>
          <w:sz w:val="26"/>
          <w:szCs w:val="26"/>
        </w:rPr>
        <w:t>thu</w:t>
      </w:r>
      <w:proofErr w:type="gramEnd"/>
      <w:r w:rsidRPr="00570FE6">
        <w:rPr>
          <w:sz w:val="26"/>
          <w:szCs w:val="26"/>
        </w:rPr>
        <w:t xml:space="preserve">. Doanh </w:t>
      </w:r>
      <w:proofErr w:type="gramStart"/>
      <w:r w:rsidRPr="00570FE6">
        <w:rPr>
          <w:sz w:val="26"/>
          <w:szCs w:val="26"/>
        </w:rPr>
        <w:t>thu</w:t>
      </w:r>
      <w:proofErr w:type="gramEnd"/>
      <w:r w:rsidRPr="00570FE6">
        <w:rPr>
          <w:sz w:val="26"/>
          <w:szCs w:val="26"/>
        </w:rPr>
        <w:t xml:space="preserve"> được dự báo dựa trên các giả thiết về thị trường, nhu cầu của khách hàng, giá cả sản phẩm và sản phẩm cạnh tranh. Để có thể xác định doanh </w:t>
      </w:r>
      <w:proofErr w:type="gramStart"/>
      <w:r w:rsidRPr="00570FE6">
        <w:rPr>
          <w:sz w:val="26"/>
          <w:szCs w:val="26"/>
        </w:rPr>
        <w:t>thu</w:t>
      </w:r>
      <w:proofErr w:type="gramEnd"/>
      <w:r w:rsidRPr="00570FE6">
        <w:rPr>
          <w:sz w:val="26"/>
          <w:szCs w:val="26"/>
        </w:rPr>
        <w:t xml:space="preserve"> người ta có thể sử dụng phương pháp tỷ lê, phương pháp hồi quy hoặc phương pháp phân tích dãy số thời gian. </w:t>
      </w:r>
    </w:p>
    <w:p w:rsidR="00745BDA" w:rsidRPr="00570FE6" w:rsidRDefault="00745BDA" w:rsidP="00745BDA">
      <w:pPr>
        <w:spacing w:line="312" w:lineRule="auto"/>
        <w:ind w:firstLine="720"/>
        <w:jc w:val="both"/>
        <w:rPr>
          <w:sz w:val="26"/>
          <w:szCs w:val="26"/>
        </w:rPr>
      </w:pPr>
      <w:r w:rsidRPr="00570FE6">
        <w:rPr>
          <w:sz w:val="26"/>
          <w:szCs w:val="26"/>
        </w:rPr>
        <w:t xml:space="preserve">Sau khi dự báo doanh </w:t>
      </w:r>
      <w:proofErr w:type="gramStart"/>
      <w:r w:rsidRPr="00570FE6">
        <w:rPr>
          <w:sz w:val="26"/>
          <w:szCs w:val="26"/>
        </w:rPr>
        <w:t>thu</w:t>
      </w:r>
      <w:proofErr w:type="gramEnd"/>
      <w:r w:rsidRPr="00570FE6">
        <w:rPr>
          <w:sz w:val="26"/>
          <w:szCs w:val="26"/>
        </w:rPr>
        <w:t xml:space="preserve">, tiến hành dự báo giá vốn hàng bán, biến phí CPBH và biến phí chi phí QLDN. Giá vốn hàng bán, biến phí CPBH và biến phí CPQLDN được dự báo dựa </w:t>
      </w:r>
      <w:proofErr w:type="gramStart"/>
      <w:r w:rsidRPr="00570FE6">
        <w:rPr>
          <w:sz w:val="26"/>
          <w:szCs w:val="26"/>
        </w:rPr>
        <w:t>theo</w:t>
      </w:r>
      <w:proofErr w:type="gramEnd"/>
      <w:r w:rsidRPr="00570FE6">
        <w:rPr>
          <w:sz w:val="26"/>
          <w:szCs w:val="26"/>
        </w:rPr>
        <w:t xml:space="preserve"> kinh nghiệm nhiều năm của doanh nghiệp và thường chiếm tỷ lệ nào đó trong tổng doanh thu của mỗi loại sản phẩm. Để tăng độ tin cậy cho dự báo, doanh </w:t>
      </w:r>
      <w:proofErr w:type="gramStart"/>
      <w:r w:rsidRPr="00570FE6">
        <w:rPr>
          <w:sz w:val="26"/>
          <w:szCs w:val="26"/>
        </w:rPr>
        <w:t>thu</w:t>
      </w:r>
      <w:proofErr w:type="gramEnd"/>
      <w:r w:rsidRPr="00570FE6">
        <w:rPr>
          <w:sz w:val="26"/>
          <w:szCs w:val="26"/>
        </w:rPr>
        <w:t xml:space="preserve"> được dự báo ở đây là doanh thu thuần.</w:t>
      </w:r>
    </w:p>
    <w:p w:rsidR="00745BDA" w:rsidRPr="00570FE6" w:rsidRDefault="007A2E28" w:rsidP="00745BDA">
      <w:pPr>
        <w:spacing w:line="312" w:lineRule="auto"/>
        <w:jc w:val="both"/>
        <w:rPr>
          <w:b/>
          <w:sz w:val="26"/>
          <w:szCs w:val="26"/>
        </w:rPr>
      </w:pPr>
      <w:r>
        <w:rPr>
          <w:b/>
          <w:sz w:val="26"/>
          <w:szCs w:val="26"/>
        </w:rPr>
        <w:t>Minh họa:</w:t>
      </w:r>
    </w:p>
    <w:p w:rsidR="00745BDA" w:rsidRPr="00570FE6" w:rsidRDefault="00745BDA" w:rsidP="00745BDA">
      <w:pPr>
        <w:spacing w:line="312" w:lineRule="auto"/>
        <w:jc w:val="both"/>
        <w:rPr>
          <w:sz w:val="26"/>
          <w:szCs w:val="26"/>
        </w:rPr>
      </w:pPr>
      <w:r w:rsidRPr="00570FE6">
        <w:rPr>
          <w:bCs/>
          <w:sz w:val="26"/>
          <w:szCs w:val="26"/>
        </w:rPr>
        <w:t>* Tài liệu phân tích: Công ty TNHH thực phẩm Minh Anh. D</w:t>
      </w:r>
      <w:r w:rsidRPr="00570FE6">
        <w:rPr>
          <w:sz w:val="26"/>
          <w:szCs w:val="26"/>
        </w:rPr>
        <w:t xml:space="preserve">ự báo doanh </w:t>
      </w:r>
      <w:proofErr w:type="gramStart"/>
      <w:r w:rsidRPr="00570FE6">
        <w:rPr>
          <w:sz w:val="26"/>
          <w:szCs w:val="26"/>
        </w:rPr>
        <w:t>thu</w:t>
      </w:r>
      <w:proofErr w:type="gramEnd"/>
      <w:r w:rsidRPr="00570FE6">
        <w:rPr>
          <w:sz w:val="26"/>
          <w:szCs w:val="26"/>
        </w:rPr>
        <w:t xml:space="preserve"> tiêu thụ tăng 12% mỗi năm. Công ty tiến hành dự báo doanh </w:t>
      </w:r>
      <w:proofErr w:type="gramStart"/>
      <w:r w:rsidRPr="00570FE6">
        <w:rPr>
          <w:sz w:val="26"/>
          <w:szCs w:val="26"/>
        </w:rPr>
        <w:t>thu</w:t>
      </w:r>
      <w:proofErr w:type="gramEnd"/>
      <w:r w:rsidRPr="00570FE6">
        <w:rPr>
          <w:sz w:val="26"/>
          <w:szCs w:val="26"/>
        </w:rPr>
        <w:t>, giá vốn, CPBH và chi phí QLDN dựa vào giả thiết sau:</w:t>
      </w:r>
    </w:p>
    <w:p w:rsidR="00745BDA" w:rsidRPr="00570FE6" w:rsidRDefault="00745BDA" w:rsidP="00745BDA">
      <w:pPr>
        <w:spacing w:line="312" w:lineRule="auto"/>
        <w:ind w:left="720"/>
        <w:jc w:val="both"/>
        <w:rPr>
          <w:sz w:val="26"/>
          <w:szCs w:val="26"/>
        </w:rPr>
      </w:pPr>
      <w:r w:rsidRPr="00570FE6">
        <w:rPr>
          <w:sz w:val="26"/>
          <w:szCs w:val="26"/>
        </w:rPr>
        <w:t xml:space="preserve">- Doanh </w:t>
      </w:r>
      <w:proofErr w:type="gramStart"/>
      <w:r w:rsidRPr="00570FE6">
        <w:rPr>
          <w:sz w:val="26"/>
          <w:szCs w:val="26"/>
        </w:rPr>
        <w:t>thu</w:t>
      </w:r>
      <w:proofErr w:type="gramEnd"/>
      <w:r w:rsidRPr="00570FE6">
        <w:rPr>
          <w:sz w:val="26"/>
          <w:szCs w:val="26"/>
        </w:rPr>
        <w:t xml:space="preserve"> bán hàng năm N = 112% doanh thu năm N-1</w:t>
      </w:r>
    </w:p>
    <w:p w:rsidR="00745BDA" w:rsidRPr="00570FE6" w:rsidRDefault="00745BDA" w:rsidP="00745BDA">
      <w:pPr>
        <w:spacing w:line="312" w:lineRule="auto"/>
        <w:ind w:left="720"/>
        <w:jc w:val="both"/>
        <w:rPr>
          <w:sz w:val="26"/>
          <w:szCs w:val="26"/>
        </w:rPr>
      </w:pPr>
      <w:r w:rsidRPr="00570FE6">
        <w:rPr>
          <w:sz w:val="26"/>
          <w:szCs w:val="26"/>
        </w:rPr>
        <w:t xml:space="preserve">- Giá vốn hàng bán = 72% tổng doanh </w:t>
      </w:r>
      <w:proofErr w:type="gramStart"/>
      <w:r w:rsidRPr="00570FE6">
        <w:rPr>
          <w:sz w:val="26"/>
          <w:szCs w:val="26"/>
        </w:rPr>
        <w:t>thu</w:t>
      </w:r>
      <w:proofErr w:type="gramEnd"/>
    </w:p>
    <w:p w:rsidR="00745BDA" w:rsidRPr="00570FE6" w:rsidRDefault="00745BDA" w:rsidP="00745BDA">
      <w:pPr>
        <w:spacing w:line="312" w:lineRule="auto"/>
        <w:ind w:left="720"/>
        <w:jc w:val="both"/>
        <w:rPr>
          <w:sz w:val="26"/>
          <w:szCs w:val="26"/>
        </w:rPr>
      </w:pPr>
      <w:r w:rsidRPr="00570FE6">
        <w:rPr>
          <w:sz w:val="26"/>
          <w:szCs w:val="26"/>
        </w:rPr>
        <w:lastRenderedPageBreak/>
        <w:t xml:space="preserve">- CPBH và chi phí QLDN = 14% tổng doanh </w:t>
      </w:r>
      <w:proofErr w:type="gramStart"/>
      <w:r w:rsidRPr="00570FE6">
        <w:rPr>
          <w:sz w:val="26"/>
          <w:szCs w:val="26"/>
        </w:rPr>
        <w:t>thu</w:t>
      </w:r>
      <w:proofErr w:type="gramEnd"/>
    </w:p>
    <w:p w:rsidR="00745BDA" w:rsidRPr="00570FE6" w:rsidRDefault="00745BDA" w:rsidP="00745BDA">
      <w:pPr>
        <w:spacing w:line="312" w:lineRule="auto"/>
        <w:jc w:val="both"/>
        <w:rPr>
          <w:sz w:val="26"/>
          <w:szCs w:val="26"/>
        </w:rPr>
      </w:pPr>
      <w:r w:rsidRPr="00570FE6">
        <w:rPr>
          <w:sz w:val="26"/>
          <w:szCs w:val="26"/>
        </w:rPr>
        <w:t>Các bước lập dự báo BCKQKD như sau:</w:t>
      </w:r>
    </w:p>
    <w:p w:rsidR="00745BDA" w:rsidRPr="00570FE6" w:rsidRDefault="00745BDA" w:rsidP="00745BDA">
      <w:pPr>
        <w:spacing w:line="312" w:lineRule="auto"/>
        <w:jc w:val="both"/>
        <w:rPr>
          <w:b/>
          <w:bCs/>
          <w:i/>
          <w:sz w:val="26"/>
          <w:szCs w:val="26"/>
        </w:rPr>
      </w:pPr>
      <w:r w:rsidRPr="00570FE6">
        <w:rPr>
          <w:b/>
          <w:bCs/>
          <w:i/>
          <w:sz w:val="26"/>
          <w:szCs w:val="26"/>
        </w:rPr>
        <w:t xml:space="preserve">Bước 1: Dự báo doanh </w:t>
      </w:r>
      <w:proofErr w:type="gramStart"/>
      <w:r w:rsidRPr="00570FE6">
        <w:rPr>
          <w:b/>
          <w:bCs/>
          <w:i/>
          <w:sz w:val="26"/>
          <w:szCs w:val="26"/>
        </w:rPr>
        <w:t>thu</w:t>
      </w:r>
      <w:proofErr w:type="gramEnd"/>
    </w:p>
    <w:p w:rsidR="00745BDA" w:rsidRPr="00570FE6" w:rsidRDefault="00745BDA" w:rsidP="00745BDA">
      <w:pPr>
        <w:spacing w:line="312" w:lineRule="auto"/>
        <w:ind w:firstLine="720"/>
        <w:jc w:val="both"/>
        <w:rPr>
          <w:sz w:val="26"/>
          <w:szCs w:val="26"/>
        </w:rPr>
      </w:pPr>
      <w:r w:rsidRPr="00570FE6">
        <w:rPr>
          <w:sz w:val="26"/>
          <w:szCs w:val="26"/>
        </w:rPr>
        <w:t xml:space="preserve">Dự báo doanh </w:t>
      </w:r>
      <w:proofErr w:type="gramStart"/>
      <w:r w:rsidRPr="00570FE6">
        <w:rPr>
          <w:sz w:val="26"/>
          <w:szCs w:val="26"/>
        </w:rPr>
        <w:t>thu</w:t>
      </w:r>
      <w:proofErr w:type="gramEnd"/>
      <w:r w:rsidRPr="00570FE6">
        <w:rPr>
          <w:sz w:val="26"/>
          <w:szCs w:val="26"/>
        </w:rPr>
        <w:t xml:space="preserve"> bán hàng năm N được xây dựng dựa trên số liệu về doanh thu bán hàng trong năm N-1. </w:t>
      </w:r>
      <w:bookmarkStart w:id="1" w:name="_Hlk58611007"/>
      <w:r w:rsidRPr="00570FE6">
        <w:rPr>
          <w:sz w:val="26"/>
          <w:szCs w:val="26"/>
        </w:rPr>
        <w:t xml:space="preserve">Doanh </w:t>
      </w:r>
      <w:proofErr w:type="gramStart"/>
      <w:r w:rsidRPr="00570FE6">
        <w:rPr>
          <w:sz w:val="26"/>
          <w:szCs w:val="26"/>
        </w:rPr>
        <w:t>thu</w:t>
      </w:r>
      <w:proofErr w:type="gramEnd"/>
      <w:r w:rsidRPr="00570FE6">
        <w:rPr>
          <w:sz w:val="26"/>
          <w:szCs w:val="26"/>
        </w:rPr>
        <w:t xml:space="preserve"> bán hàng năm N = 112% doanh thu năm N-1 cụ thể ta có bảng số liệu sau: </w:t>
      </w:r>
    </w:p>
    <w:p w:rsidR="00745BDA" w:rsidRPr="00570FE6" w:rsidRDefault="007A2E28" w:rsidP="00745BDA">
      <w:pPr>
        <w:pStyle w:val="Caption"/>
        <w:jc w:val="center"/>
        <w:rPr>
          <w:b w:val="0"/>
          <w:bCs w:val="0"/>
          <w:sz w:val="26"/>
          <w:szCs w:val="26"/>
        </w:rPr>
      </w:pPr>
      <w:bookmarkStart w:id="2" w:name="_Toc59643772"/>
      <w:bookmarkEnd w:id="1"/>
      <w:r>
        <w:rPr>
          <w:sz w:val="26"/>
          <w:szCs w:val="26"/>
        </w:rPr>
        <w:t xml:space="preserve">Bảng </w:t>
      </w:r>
      <w:r w:rsidR="00745BDA" w:rsidRPr="00570FE6">
        <w:rPr>
          <w:sz w:val="26"/>
          <w:szCs w:val="26"/>
        </w:rPr>
        <w:fldChar w:fldCharType="begin"/>
      </w:r>
      <w:r w:rsidR="00745BDA" w:rsidRPr="00570FE6">
        <w:rPr>
          <w:sz w:val="26"/>
          <w:szCs w:val="26"/>
        </w:rPr>
        <w:instrText xml:space="preserve"> SEQ Bảng_9. \* ARABIC </w:instrText>
      </w:r>
      <w:r w:rsidR="00745BDA" w:rsidRPr="00570FE6">
        <w:rPr>
          <w:sz w:val="26"/>
          <w:szCs w:val="26"/>
        </w:rPr>
        <w:fldChar w:fldCharType="separate"/>
      </w:r>
      <w:r w:rsidR="00745BDA" w:rsidRPr="00570FE6">
        <w:rPr>
          <w:noProof/>
          <w:sz w:val="26"/>
          <w:szCs w:val="26"/>
        </w:rPr>
        <w:t>1</w:t>
      </w:r>
      <w:r w:rsidR="00745BDA" w:rsidRPr="00570FE6">
        <w:rPr>
          <w:noProof/>
          <w:sz w:val="26"/>
          <w:szCs w:val="26"/>
        </w:rPr>
        <w:fldChar w:fldCharType="end"/>
      </w:r>
      <w:r>
        <w:rPr>
          <w:noProof/>
          <w:sz w:val="26"/>
          <w:szCs w:val="26"/>
        </w:rPr>
        <w:t xml:space="preserve"> </w:t>
      </w:r>
      <w:r w:rsidR="00745BDA" w:rsidRPr="00570FE6">
        <w:rPr>
          <w:sz w:val="26"/>
          <w:szCs w:val="26"/>
        </w:rPr>
        <w:t xml:space="preserve"> Doanh </w:t>
      </w:r>
      <w:proofErr w:type="gramStart"/>
      <w:r w:rsidR="00745BDA" w:rsidRPr="00570FE6">
        <w:rPr>
          <w:sz w:val="26"/>
          <w:szCs w:val="26"/>
        </w:rPr>
        <w:t>thu</w:t>
      </w:r>
      <w:proofErr w:type="gramEnd"/>
      <w:r w:rsidR="00745BDA" w:rsidRPr="00570FE6">
        <w:rPr>
          <w:sz w:val="26"/>
          <w:szCs w:val="26"/>
        </w:rPr>
        <w:t xml:space="preserve"> dự báo năm N</w:t>
      </w:r>
      <w:bookmarkEnd w:id="2"/>
    </w:p>
    <w:p w:rsidR="00745BDA" w:rsidRPr="00570FE6" w:rsidRDefault="00745BDA" w:rsidP="00745BDA">
      <w:pPr>
        <w:spacing w:line="312" w:lineRule="auto"/>
        <w:ind w:firstLine="720"/>
        <w:jc w:val="both"/>
        <w:rPr>
          <w:sz w:val="26"/>
          <w:szCs w:val="26"/>
        </w:rPr>
      </w:pPr>
      <w:r w:rsidRPr="00570FE6">
        <w:rPr>
          <w:sz w:val="26"/>
          <w:szCs w:val="26"/>
        </w:rPr>
        <w:t xml:space="preserve">                                                          ĐVT: 1.000 đồng</w:t>
      </w:r>
    </w:p>
    <w:tbl>
      <w:tblPr>
        <w:tblW w:w="3880" w:type="dxa"/>
        <w:tblInd w:w="2235" w:type="dxa"/>
        <w:tblLook w:val="04A0" w:firstRow="1" w:lastRow="0" w:firstColumn="1" w:lastColumn="0" w:noHBand="0" w:noVBand="1"/>
      </w:tblPr>
      <w:tblGrid>
        <w:gridCol w:w="1200"/>
        <w:gridCol w:w="1320"/>
        <w:gridCol w:w="1360"/>
      </w:tblGrid>
      <w:tr w:rsidR="00745BDA" w:rsidRPr="00570FE6" w:rsidTr="00415C2A">
        <w:trPr>
          <w:trHeight w:val="31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rPr>
                <w:b/>
                <w:bCs/>
                <w:color w:val="000000"/>
                <w:sz w:val="26"/>
                <w:szCs w:val="26"/>
              </w:rPr>
            </w:pPr>
            <w:r w:rsidRPr="00570FE6">
              <w:rPr>
                <w:b/>
                <w:bCs/>
                <w:color w:val="000000"/>
                <w:sz w:val="26"/>
                <w:szCs w:val="26"/>
              </w:rPr>
              <w:t xml:space="preserve">Tháng </w:t>
            </w:r>
          </w:p>
        </w:tc>
        <w:tc>
          <w:tcPr>
            <w:tcW w:w="1320" w:type="dxa"/>
            <w:tcBorders>
              <w:top w:val="single" w:sz="4" w:space="0" w:color="auto"/>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rPr>
                <w:b/>
                <w:bCs/>
                <w:color w:val="000000"/>
                <w:sz w:val="26"/>
                <w:szCs w:val="26"/>
              </w:rPr>
            </w:pPr>
            <w:r w:rsidRPr="00570FE6">
              <w:rPr>
                <w:b/>
                <w:bCs/>
                <w:color w:val="000000"/>
                <w:sz w:val="26"/>
                <w:szCs w:val="26"/>
              </w:rPr>
              <w:t>Năm N-1</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rPr>
                <w:b/>
                <w:bCs/>
                <w:color w:val="000000"/>
                <w:sz w:val="26"/>
                <w:szCs w:val="26"/>
              </w:rPr>
            </w:pPr>
            <w:r w:rsidRPr="00570FE6">
              <w:rPr>
                <w:b/>
                <w:bCs/>
                <w:color w:val="000000"/>
                <w:sz w:val="26"/>
                <w:szCs w:val="26"/>
              </w:rPr>
              <w:t>Năm N</w:t>
            </w:r>
          </w:p>
        </w:tc>
      </w:tr>
      <w:tr w:rsidR="00745BDA" w:rsidRPr="00570FE6" w:rsidTr="00415C2A">
        <w:trPr>
          <w:trHeight w:val="3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color w:val="000000"/>
                <w:sz w:val="26"/>
                <w:szCs w:val="26"/>
              </w:rPr>
            </w:pPr>
            <w:r w:rsidRPr="00570FE6">
              <w:rPr>
                <w:color w:val="000000"/>
                <w:sz w:val="26"/>
                <w:szCs w:val="26"/>
              </w:rPr>
              <w:t>1</w:t>
            </w:r>
          </w:p>
        </w:tc>
        <w:tc>
          <w:tcPr>
            <w:tcW w:w="132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86.607</w:t>
            </w:r>
          </w:p>
        </w:tc>
        <w:tc>
          <w:tcPr>
            <w:tcW w:w="136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97.000</w:t>
            </w:r>
          </w:p>
        </w:tc>
      </w:tr>
      <w:tr w:rsidR="00745BDA" w:rsidRPr="00570FE6" w:rsidTr="00415C2A">
        <w:trPr>
          <w:trHeight w:val="3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color w:val="000000"/>
                <w:sz w:val="26"/>
                <w:szCs w:val="26"/>
              </w:rPr>
            </w:pPr>
            <w:r w:rsidRPr="00570FE6">
              <w:rPr>
                <w:color w:val="000000"/>
                <w:sz w:val="26"/>
                <w:szCs w:val="26"/>
              </w:rPr>
              <w:t>2</w:t>
            </w:r>
          </w:p>
        </w:tc>
        <w:tc>
          <w:tcPr>
            <w:tcW w:w="132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66.071</w:t>
            </w:r>
          </w:p>
        </w:tc>
        <w:tc>
          <w:tcPr>
            <w:tcW w:w="136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74.000</w:t>
            </w:r>
          </w:p>
        </w:tc>
      </w:tr>
      <w:tr w:rsidR="00745BDA" w:rsidRPr="00570FE6" w:rsidTr="00415C2A">
        <w:trPr>
          <w:trHeight w:val="3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color w:val="000000"/>
                <w:sz w:val="26"/>
                <w:szCs w:val="26"/>
              </w:rPr>
            </w:pPr>
            <w:r w:rsidRPr="00570FE6">
              <w:rPr>
                <w:color w:val="000000"/>
                <w:sz w:val="26"/>
                <w:szCs w:val="26"/>
              </w:rPr>
              <w:t>3</w:t>
            </w:r>
          </w:p>
        </w:tc>
        <w:tc>
          <w:tcPr>
            <w:tcW w:w="132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50.000</w:t>
            </w:r>
          </w:p>
        </w:tc>
        <w:tc>
          <w:tcPr>
            <w:tcW w:w="136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56.000</w:t>
            </w:r>
          </w:p>
        </w:tc>
      </w:tr>
      <w:tr w:rsidR="00745BDA" w:rsidRPr="00570FE6" w:rsidTr="00415C2A">
        <w:trPr>
          <w:trHeight w:val="3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color w:val="000000"/>
                <w:sz w:val="26"/>
                <w:szCs w:val="26"/>
              </w:rPr>
            </w:pPr>
            <w:r w:rsidRPr="00570FE6">
              <w:rPr>
                <w:color w:val="000000"/>
                <w:sz w:val="26"/>
                <w:szCs w:val="26"/>
              </w:rPr>
              <w:t>4</w:t>
            </w:r>
          </w:p>
        </w:tc>
        <w:tc>
          <w:tcPr>
            <w:tcW w:w="132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41.071</w:t>
            </w:r>
          </w:p>
        </w:tc>
        <w:tc>
          <w:tcPr>
            <w:tcW w:w="136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46.000</w:t>
            </w:r>
          </w:p>
        </w:tc>
      </w:tr>
      <w:tr w:rsidR="00745BDA" w:rsidRPr="00570FE6" w:rsidTr="00415C2A">
        <w:trPr>
          <w:trHeight w:val="3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color w:val="000000"/>
                <w:sz w:val="26"/>
                <w:szCs w:val="26"/>
              </w:rPr>
            </w:pPr>
            <w:r w:rsidRPr="00570FE6">
              <w:rPr>
                <w:color w:val="000000"/>
                <w:sz w:val="26"/>
                <w:szCs w:val="26"/>
              </w:rPr>
              <w:t>5</w:t>
            </w:r>
          </w:p>
        </w:tc>
        <w:tc>
          <w:tcPr>
            <w:tcW w:w="132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32.143</w:t>
            </w:r>
          </w:p>
        </w:tc>
        <w:tc>
          <w:tcPr>
            <w:tcW w:w="136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36.000</w:t>
            </w:r>
          </w:p>
        </w:tc>
      </w:tr>
      <w:tr w:rsidR="00745BDA" w:rsidRPr="00570FE6" w:rsidTr="00415C2A">
        <w:trPr>
          <w:trHeight w:val="3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color w:val="000000"/>
                <w:sz w:val="26"/>
                <w:szCs w:val="26"/>
              </w:rPr>
            </w:pPr>
            <w:r w:rsidRPr="00570FE6">
              <w:rPr>
                <w:color w:val="000000"/>
                <w:sz w:val="26"/>
                <w:szCs w:val="26"/>
              </w:rPr>
              <w:t>6</w:t>
            </w:r>
          </w:p>
        </w:tc>
        <w:tc>
          <w:tcPr>
            <w:tcW w:w="132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41.071</w:t>
            </w:r>
          </w:p>
        </w:tc>
        <w:tc>
          <w:tcPr>
            <w:tcW w:w="136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46.000</w:t>
            </w:r>
          </w:p>
        </w:tc>
      </w:tr>
      <w:tr w:rsidR="00745BDA" w:rsidRPr="00570FE6" w:rsidTr="00415C2A">
        <w:trPr>
          <w:trHeight w:val="3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color w:val="000000"/>
                <w:sz w:val="26"/>
                <w:szCs w:val="26"/>
              </w:rPr>
            </w:pPr>
            <w:r w:rsidRPr="00570FE6">
              <w:rPr>
                <w:color w:val="000000"/>
                <w:sz w:val="26"/>
                <w:szCs w:val="26"/>
              </w:rPr>
              <w:t>7</w:t>
            </w:r>
          </w:p>
        </w:tc>
        <w:tc>
          <w:tcPr>
            <w:tcW w:w="132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63.393</w:t>
            </w:r>
          </w:p>
        </w:tc>
        <w:tc>
          <w:tcPr>
            <w:tcW w:w="136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71.000</w:t>
            </w:r>
          </w:p>
        </w:tc>
      </w:tr>
      <w:tr w:rsidR="00745BDA" w:rsidRPr="00570FE6" w:rsidTr="00415C2A">
        <w:trPr>
          <w:trHeight w:val="3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color w:val="000000"/>
                <w:sz w:val="26"/>
                <w:szCs w:val="26"/>
              </w:rPr>
            </w:pPr>
            <w:r w:rsidRPr="00570FE6">
              <w:rPr>
                <w:color w:val="000000"/>
                <w:sz w:val="26"/>
                <w:szCs w:val="26"/>
              </w:rPr>
              <w:t>8</w:t>
            </w:r>
          </w:p>
        </w:tc>
        <w:tc>
          <w:tcPr>
            <w:tcW w:w="132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94.643</w:t>
            </w:r>
          </w:p>
        </w:tc>
        <w:tc>
          <w:tcPr>
            <w:tcW w:w="136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106.000</w:t>
            </w:r>
          </w:p>
        </w:tc>
      </w:tr>
      <w:tr w:rsidR="00745BDA" w:rsidRPr="00570FE6" w:rsidTr="00415C2A">
        <w:trPr>
          <w:trHeight w:val="3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color w:val="000000"/>
                <w:sz w:val="26"/>
                <w:szCs w:val="26"/>
              </w:rPr>
            </w:pPr>
            <w:r w:rsidRPr="00570FE6">
              <w:rPr>
                <w:color w:val="000000"/>
                <w:sz w:val="26"/>
                <w:szCs w:val="26"/>
              </w:rPr>
              <w:t>9</w:t>
            </w:r>
          </w:p>
        </w:tc>
        <w:tc>
          <w:tcPr>
            <w:tcW w:w="132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133.036</w:t>
            </w:r>
          </w:p>
        </w:tc>
        <w:tc>
          <w:tcPr>
            <w:tcW w:w="136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149.000</w:t>
            </w:r>
          </w:p>
        </w:tc>
      </w:tr>
      <w:tr w:rsidR="00745BDA" w:rsidRPr="00570FE6" w:rsidTr="00415C2A">
        <w:trPr>
          <w:trHeight w:val="3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color w:val="000000"/>
                <w:sz w:val="26"/>
                <w:szCs w:val="26"/>
              </w:rPr>
            </w:pPr>
            <w:r w:rsidRPr="00570FE6">
              <w:rPr>
                <w:color w:val="000000"/>
                <w:sz w:val="26"/>
                <w:szCs w:val="26"/>
              </w:rPr>
              <w:t>10</w:t>
            </w:r>
          </w:p>
        </w:tc>
        <w:tc>
          <w:tcPr>
            <w:tcW w:w="132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156.250</w:t>
            </w:r>
          </w:p>
        </w:tc>
        <w:tc>
          <w:tcPr>
            <w:tcW w:w="136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175.000</w:t>
            </w:r>
          </w:p>
        </w:tc>
      </w:tr>
      <w:tr w:rsidR="00745BDA" w:rsidRPr="00570FE6" w:rsidTr="00415C2A">
        <w:trPr>
          <w:trHeight w:val="3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color w:val="000000"/>
                <w:sz w:val="26"/>
                <w:szCs w:val="26"/>
              </w:rPr>
            </w:pPr>
            <w:r w:rsidRPr="00570FE6">
              <w:rPr>
                <w:color w:val="000000"/>
                <w:sz w:val="26"/>
                <w:szCs w:val="26"/>
              </w:rPr>
              <w:t>11</w:t>
            </w:r>
          </w:p>
        </w:tc>
        <w:tc>
          <w:tcPr>
            <w:tcW w:w="132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129.464</w:t>
            </w:r>
          </w:p>
        </w:tc>
        <w:tc>
          <w:tcPr>
            <w:tcW w:w="136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145.000</w:t>
            </w:r>
          </w:p>
        </w:tc>
      </w:tr>
      <w:tr w:rsidR="00745BDA" w:rsidRPr="00570FE6" w:rsidTr="00415C2A">
        <w:trPr>
          <w:trHeight w:val="3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color w:val="000000"/>
                <w:sz w:val="26"/>
                <w:szCs w:val="26"/>
              </w:rPr>
            </w:pPr>
            <w:r w:rsidRPr="00570FE6">
              <w:rPr>
                <w:color w:val="000000"/>
                <w:sz w:val="26"/>
                <w:szCs w:val="26"/>
              </w:rPr>
              <w:t>12</w:t>
            </w:r>
          </w:p>
        </w:tc>
        <w:tc>
          <w:tcPr>
            <w:tcW w:w="132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104.464</w:t>
            </w:r>
          </w:p>
        </w:tc>
        <w:tc>
          <w:tcPr>
            <w:tcW w:w="136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117.000</w:t>
            </w:r>
          </w:p>
        </w:tc>
      </w:tr>
      <w:tr w:rsidR="00745BDA" w:rsidRPr="00570FE6" w:rsidTr="00415C2A">
        <w:trPr>
          <w:trHeight w:val="31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rPr>
                <w:b/>
                <w:bCs/>
                <w:color w:val="000000"/>
                <w:sz w:val="26"/>
                <w:szCs w:val="26"/>
              </w:rPr>
            </w:pPr>
            <w:r w:rsidRPr="00570FE6">
              <w:rPr>
                <w:b/>
                <w:bCs/>
                <w:color w:val="000000"/>
                <w:sz w:val="26"/>
                <w:szCs w:val="26"/>
              </w:rPr>
              <w:t>Tổng</w:t>
            </w:r>
          </w:p>
        </w:tc>
        <w:tc>
          <w:tcPr>
            <w:tcW w:w="132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b/>
                <w:bCs/>
                <w:color w:val="000000"/>
                <w:sz w:val="26"/>
                <w:szCs w:val="26"/>
              </w:rPr>
            </w:pPr>
            <w:r w:rsidRPr="00570FE6">
              <w:rPr>
                <w:b/>
                <w:bCs/>
                <w:color w:val="000000"/>
                <w:sz w:val="26"/>
                <w:szCs w:val="26"/>
              </w:rPr>
              <w:t>998.214</w:t>
            </w:r>
          </w:p>
        </w:tc>
        <w:tc>
          <w:tcPr>
            <w:tcW w:w="1360"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b/>
                <w:bCs/>
                <w:color w:val="000000"/>
                <w:sz w:val="26"/>
                <w:szCs w:val="26"/>
              </w:rPr>
            </w:pPr>
            <w:r w:rsidRPr="00570FE6">
              <w:rPr>
                <w:b/>
                <w:bCs/>
                <w:color w:val="000000"/>
                <w:sz w:val="26"/>
                <w:szCs w:val="26"/>
              </w:rPr>
              <w:t>1.118.000</w:t>
            </w:r>
          </w:p>
        </w:tc>
      </w:tr>
    </w:tbl>
    <w:p w:rsidR="00745BDA" w:rsidRPr="00570FE6" w:rsidRDefault="00745BDA" w:rsidP="00745BDA">
      <w:pPr>
        <w:spacing w:line="312" w:lineRule="auto"/>
        <w:jc w:val="both"/>
        <w:rPr>
          <w:i/>
          <w:iCs/>
          <w:sz w:val="26"/>
          <w:szCs w:val="26"/>
        </w:rPr>
      </w:pPr>
      <w:r w:rsidRPr="00570FE6">
        <w:rPr>
          <w:i/>
          <w:iCs/>
          <w:sz w:val="26"/>
          <w:szCs w:val="26"/>
        </w:rPr>
        <w:t xml:space="preserve">                                   (Nguồn: </w:t>
      </w:r>
      <w:r w:rsidRPr="00570FE6">
        <w:rPr>
          <w:bCs/>
          <w:i/>
          <w:iCs/>
          <w:sz w:val="26"/>
          <w:szCs w:val="26"/>
        </w:rPr>
        <w:t>Công ty TNHH thực phẩm Minh Anh</w:t>
      </w:r>
      <w:r w:rsidRPr="00570FE6">
        <w:rPr>
          <w:i/>
          <w:iCs/>
          <w:sz w:val="26"/>
          <w:szCs w:val="26"/>
        </w:rPr>
        <w:t>)</w:t>
      </w:r>
    </w:p>
    <w:p w:rsidR="00745BDA" w:rsidRPr="00570FE6" w:rsidRDefault="00745BDA" w:rsidP="00745BDA">
      <w:pPr>
        <w:spacing w:line="312" w:lineRule="auto"/>
        <w:jc w:val="both"/>
        <w:rPr>
          <w:sz w:val="26"/>
          <w:szCs w:val="26"/>
        </w:rPr>
      </w:pPr>
      <w:r w:rsidRPr="00570FE6">
        <w:rPr>
          <w:sz w:val="26"/>
          <w:szCs w:val="26"/>
        </w:rPr>
        <w:t xml:space="preserve">- Nếu theo phương pháp phân tích dãy số </w:t>
      </w:r>
      <w:proofErr w:type="gramStart"/>
      <w:r w:rsidRPr="00570FE6">
        <w:rPr>
          <w:sz w:val="26"/>
          <w:szCs w:val="26"/>
        </w:rPr>
        <w:t>theo</w:t>
      </w:r>
      <w:proofErr w:type="gramEnd"/>
      <w:r w:rsidRPr="00570FE6">
        <w:rPr>
          <w:sz w:val="26"/>
          <w:szCs w:val="26"/>
        </w:rPr>
        <w:t xml:space="preserve"> thời gian được sử dụng để phân tích xu hướng biến động của doanh thu trong quá khứ từ đó dự báo được xu hướng biến động trong tương lai. Dự báo này được thực hiện dựa trên giả thiết doanh </w:t>
      </w:r>
      <w:proofErr w:type="gramStart"/>
      <w:r w:rsidRPr="00570FE6">
        <w:rPr>
          <w:sz w:val="26"/>
          <w:szCs w:val="26"/>
        </w:rPr>
        <w:t>thu</w:t>
      </w:r>
      <w:proofErr w:type="gramEnd"/>
      <w:r w:rsidRPr="00570FE6">
        <w:rPr>
          <w:sz w:val="26"/>
          <w:szCs w:val="26"/>
        </w:rPr>
        <w:t xml:space="preserve"> của doanh nghiệp tiếp tục biến động theo xu hướng trong quá khứ. Kỹ thuật phân tích dãy số theo thời gian có tính đến ảnh hưởng của các nhân tố được sử dụng để làm tăng độ tin cậy của dự </w:t>
      </w:r>
      <w:proofErr w:type="gramStart"/>
      <w:r w:rsidRPr="00570FE6">
        <w:rPr>
          <w:sz w:val="26"/>
          <w:szCs w:val="26"/>
        </w:rPr>
        <w:t>báo .</w:t>
      </w:r>
      <w:proofErr w:type="gramEnd"/>
    </w:p>
    <w:p w:rsidR="00745BDA" w:rsidRPr="00570FE6" w:rsidRDefault="00745BDA" w:rsidP="00745BDA">
      <w:pPr>
        <w:spacing w:line="312" w:lineRule="auto"/>
        <w:jc w:val="both"/>
        <w:rPr>
          <w:sz w:val="26"/>
          <w:szCs w:val="26"/>
        </w:rPr>
      </w:pPr>
      <w:r w:rsidRPr="00570FE6">
        <w:rPr>
          <w:sz w:val="26"/>
          <w:szCs w:val="26"/>
        </w:rPr>
        <w:t xml:space="preserve">- Nếu sử dụng phương pháp hồi quy để dự báo xu hướng biến động của doanh </w:t>
      </w:r>
      <w:proofErr w:type="gramStart"/>
      <w:r w:rsidRPr="00570FE6">
        <w:rPr>
          <w:sz w:val="26"/>
          <w:szCs w:val="26"/>
        </w:rPr>
        <w:t>thu</w:t>
      </w:r>
      <w:proofErr w:type="gramEnd"/>
      <w:r w:rsidRPr="00570FE6">
        <w:rPr>
          <w:sz w:val="26"/>
          <w:szCs w:val="26"/>
        </w:rPr>
        <w:t xml:space="preserve">, người ta phải thu thập số liệu doanh thu bán hàng của doanh nghiệp trong khoảng thời gian dài từ 5 đến 10 năm. </w:t>
      </w:r>
    </w:p>
    <w:p w:rsidR="00745BDA" w:rsidRPr="00570FE6" w:rsidRDefault="00745BDA" w:rsidP="00745BDA">
      <w:pPr>
        <w:spacing w:line="312" w:lineRule="auto"/>
        <w:rPr>
          <w:b/>
          <w:bCs/>
          <w:i/>
          <w:sz w:val="26"/>
          <w:szCs w:val="26"/>
        </w:rPr>
      </w:pPr>
      <w:r w:rsidRPr="00570FE6">
        <w:rPr>
          <w:b/>
          <w:bCs/>
          <w:i/>
          <w:sz w:val="26"/>
          <w:szCs w:val="26"/>
        </w:rPr>
        <w:t>Bước 2: Dự báo giá vốn, CPBH và chi phí QLDN</w:t>
      </w:r>
    </w:p>
    <w:p w:rsidR="00745BDA" w:rsidRPr="00570FE6" w:rsidRDefault="00745BDA" w:rsidP="00745BDA">
      <w:pPr>
        <w:spacing w:line="312" w:lineRule="auto"/>
        <w:rPr>
          <w:iCs/>
          <w:sz w:val="26"/>
          <w:szCs w:val="26"/>
        </w:rPr>
      </w:pPr>
      <w:r w:rsidRPr="00570FE6">
        <w:rPr>
          <w:b/>
          <w:bCs/>
          <w:i/>
          <w:sz w:val="26"/>
          <w:szCs w:val="26"/>
        </w:rPr>
        <w:t xml:space="preserve">                                                                 </w:t>
      </w:r>
      <w:r w:rsidRPr="00570FE6">
        <w:rPr>
          <w:iCs/>
          <w:sz w:val="26"/>
          <w:szCs w:val="26"/>
        </w:rPr>
        <w:t>ĐVT: 1.000 đồng</w:t>
      </w:r>
    </w:p>
    <w:p w:rsidR="00745BDA" w:rsidRPr="00570FE6" w:rsidRDefault="00745BDA" w:rsidP="00745BDA">
      <w:pPr>
        <w:spacing w:line="312" w:lineRule="auto"/>
        <w:jc w:val="both"/>
        <w:rPr>
          <w:sz w:val="26"/>
          <w:szCs w:val="26"/>
        </w:rPr>
      </w:pPr>
      <w:r w:rsidRPr="00570FE6">
        <w:rPr>
          <w:sz w:val="26"/>
          <w:szCs w:val="26"/>
        </w:rPr>
        <w:lastRenderedPageBreak/>
        <w:t xml:space="preserve">- Giá vốn hàng bán năm N = 72% tổng doanh </w:t>
      </w:r>
      <w:proofErr w:type="gramStart"/>
      <w:r w:rsidRPr="00570FE6">
        <w:rPr>
          <w:sz w:val="26"/>
          <w:szCs w:val="26"/>
        </w:rPr>
        <w:t>thu</w:t>
      </w:r>
      <w:proofErr w:type="gramEnd"/>
      <w:r w:rsidRPr="00570FE6">
        <w:rPr>
          <w:sz w:val="26"/>
          <w:szCs w:val="26"/>
        </w:rPr>
        <w:t xml:space="preserve"> năm N</w:t>
      </w:r>
    </w:p>
    <w:p w:rsidR="00745BDA" w:rsidRPr="00570FE6" w:rsidRDefault="00745BDA" w:rsidP="00745BDA">
      <w:pPr>
        <w:spacing w:line="312" w:lineRule="auto"/>
        <w:ind w:left="720"/>
        <w:jc w:val="both"/>
        <w:rPr>
          <w:sz w:val="26"/>
          <w:szCs w:val="26"/>
        </w:rPr>
      </w:pPr>
      <w:r w:rsidRPr="00570FE6">
        <w:rPr>
          <w:sz w:val="26"/>
          <w:szCs w:val="26"/>
        </w:rPr>
        <w:t xml:space="preserve">                                 = 72%* </w:t>
      </w:r>
      <w:proofErr w:type="gramStart"/>
      <w:r w:rsidRPr="00570FE6">
        <w:rPr>
          <w:sz w:val="26"/>
          <w:szCs w:val="26"/>
        </w:rPr>
        <w:t>1.118.000  =</w:t>
      </w:r>
      <w:proofErr w:type="gramEnd"/>
      <w:r w:rsidRPr="00570FE6">
        <w:rPr>
          <w:sz w:val="26"/>
          <w:szCs w:val="26"/>
        </w:rPr>
        <w:t xml:space="preserve"> 804.960 </w:t>
      </w:r>
    </w:p>
    <w:p w:rsidR="00745BDA" w:rsidRPr="00570FE6" w:rsidRDefault="00745BDA" w:rsidP="00745BDA">
      <w:pPr>
        <w:spacing w:line="312" w:lineRule="auto"/>
        <w:jc w:val="both"/>
        <w:rPr>
          <w:sz w:val="26"/>
          <w:szCs w:val="26"/>
        </w:rPr>
      </w:pPr>
      <w:r w:rsidRPr="00570FE6">
        <w:rPr>
          <w:sz w:val="26"/>
          <w:szCs w:val="26"/>
        </w:rPr>
        <w:t xml:space="preserve">- CPBH và QLDN năm N = 14% tổng doanh </w:t>
      </w:r>
      <w:proofErr w:type="gramStart"/>
      <w:r w:rsidRPr="00570FE6">
        <w:rPr>
          <w:sz w:val="26"/>
          <w:szCs w:val="26"/>
        </w:rPr>
        <w:t>thu</w:t>
      </w:r>
      <w:proofErr w:type="gramEnd"/>
      <w:r w:rsidRPr="00570FE6">
        <w:rPr>
          <w:sz w:val="26"/>
          <w:szCs w:val="26"/>
        </w:rPr>
        <w:t xml:space="preserve"> năm N</w:t>
      </w:r>
    </w:p>
    <w:p w:rsidR="00745BDA" w:rsidRPr="00570FE6" w:rsidRDefault="00745BDA" w:rsidP="00745BDA">
      <w:pPr>
        <w:spacing w:line="312" w:lineRule="auto"/>
        <w:ind w:left="720"/>
        <w:jc w:val="both"/>
        <w:rPr>
          <w:color w:val="000000"/>
          <w:sz w:val="26"/>
          <w:szCs w:val="26"/>
        </w:rPr>
      </w:pPr>
      <w:r w:rsidRPr="00570FE6">
        <w:rPr>
          <w:sz w:val="26"/>
          <w:szCs w:val="26"/>
        </w:rPr>
        <w:t xml:space="preserve">                                       = 14%* 1.118.000 = </w:t>
      </w:r>
      <w:r w:rsidRPr="00570FE6">
        <w:rPr>
          <w:color w:val="000000"/>
          <w:sz w:val="26"/>
          <w:szCs w:val="26"/>
        </w:rPr>
        <w:t>156.520</w:t>
      </w:r>
    </w:p>
    <w:p w:rsidR="00745BDA" w:rsidRPr="00570FE6" w:rsidRDefault="00745BDA" w:rsidP="00745BDA">
      <w:pPr>
        <w:spacing w:line="312" w:lineRule="auto"/>
        <w:jc w:val="both"/>
        <w:rPr>
          <w:iCs/>
          <w:sz w:val="26"/>
          <w:szCs w:val="26"/>
        </w:rPr>
      </w:pPr>
      <w:r w:rsidRPr="00570FE6">
        <w:rPr>
          <w:iCs/>
          <w:sz w:val="26"/>
          <w:szCs w:val="26"/>
        </w:rPr>
        <w:t>- Lợi nhuận trước thuế = Lợi nhuận gộp – CPBH và QLDN</w:t>
      </w:r>
    </w:p>
    <w:p w:rsidR="00745BDA" w:rsidRPr="00570FE6" w:rsidRDefault="00745BDA" w:rsidP="00745BDA">
      <w:pPr>
        <w:spacing w:line="312" w:lineRule="auto"/>
        <w:jc w:val="both"/>
        <w:rPr>
          <w:iCs/>
          <w:sz w:val="26"/>
          <w:szCs w:val="26"/>
        </w:rPr>
      </w:pPr>
      <w:r w:rsidRPr="00570FE6">
        <w:rPr>
          <w:iCs/>
          <w:sz w:val="26"/>
          <w:szCs w:val="26"/>
        </w:rPr>
        <w:t>- Lợi nhuận sau thuế = Lợi nhuận trước thuế - Chi phí thuế TNDN</w:t>
      </w:r>
    </w:p>
    <w:p w:rsidR="00745BDA" w:rsidRPr="00570FE6" w:rsidRDefault="00745BDA" w:rsidP="00745BDA">
      <w:pPr>
        <w:spacing w:line="312" w:lineRule="auto"/>
        <w:jc w:val="both"/>
        <w:rPr>
          <w:b/>
          <w:bCs/>
          <w:i/>
          <w:sz w:val="26"/>
          <w:szCs w:val="26"/>
        </w:rPr>
      </w:pPr>
      <w:r w:rsidRPr="00570FE6">
        <w:rPr>
          <w:b/>
          <w:bCs/>
          <w:i/>
          <w:sz w:val="26"/>
          <w:szCs w:val="26"/>
        </w:rPr>
        <w:t>Bước 3: Lập BCKQKD dự báo cho năm N</w:t>
      </w:r>
    </w:p>
    <w:p w:rsidR="00745BDA" w:rsidRPr="00570FE6" w:rsidRDefault="00745BDA" w:rsidP="00745BDA">
      <w:pPr>
        <w:spacing w:line="312" w:lineRule="auto"/>
        <w:jc w:val="both"/>
        <w:rPr>
          <w:sz w:val="26"/>
          <w:szCs w:val="26"/>
        </w:rPr>
      </w:pPr>
      <w:bookmarkStart w:id="3" w:name="_Hlk58611110"/>
      <w:r w:rsidRPr="00570FE6">
        <w:rPr>
          <w:sz w:val="26"/>
          <w:szCs w:val="26"/>
        </w:rPr>
        <w:t>Từ các số liệu ở trên, thuế suất thuế TNDN 20% ta có bảng số liệu sau:</w:t>
      </w:r>
    </w:p>
    <w:tbl>
      <w:tblPr>
        <w:tblW w:w="7315" w:type="dxa"/>
        <w:tblInd w:w="108" w:type="dxa"/>
        <w:tblLook w:val="04A0" w:firstRow="1" w:lastRow="0" w:firstColumn="1" w:lastColumn="0" w:noHBand="0" w:noVBand="1"/>
      </w:tblPr>
      <w:tblGrid>
        <w:gridCol w:w="222"/>
        <w:gridCol w:w="1196"/>
        <w:gridCol w:w="3390"/>
        <w:gridCol w:w="1767"/>
        <w:gridCol w:w="513"/>
        <w:gridCol w:w="227"/>
      </w:tblGrid>
      <w:tr w:rsidR="00745BDA" w:rsidRPr="00570FE6" w:rsidTr="007A2E28">
        <w:trPr>
          <w:trHeight w:val="310"/>
        </w:trPr>
        <w:tc>
          <w:tcPr>
            <w:tcW w:w="7315" w:type="dxa"/>
            <w:gridSpan w:val="6"/>
            <w:tcBorders>
              <w:top w:val="nil"/>
              <w:left w:val="nil"/>
              <w:bottom w:val="nil"/>
              <w:right w:val="nil"/>
            </w:tcBorders>
            <w:shd w:val="clear" w:color="auto" w:fill="auto"/>
            <w:noWrap/>
            <w:vAlign w:val="bottom"/>
            <w:hideMark/>
          </w:tcPr>
          <w:bookmarkEnd w:id="3"/>
          <w:p w:rsidR="00745BDA" w:rsidRPr="00570FE6" w:rsidRDefault="00745BDA" w:rsidP="00415C2A">
            <w:pPr>
              <w:spacing w:line="312" w:lineRule="auto"/>
              <w:jc w:val="center"/>
              <w:rPr>
                <w:b/>
                <w:bCs/>
                <w:color w:val="000000"/>
                <w:sz w:val="26"/>
                <w:szCs w:val="26"/>
              </w:rPr>
            </w:pPr>
            <w:r w:rsidRPr="007A2E28">
              <w:rPr>
                <w:b/>
                <w:bCs/>
                <w:color w:val="000000"/>
                <w:sz w:val="26"/>
                <w:szCs w:val="26"/>
              </w:rPr>
              <w:t xml:space="preserve">                       </w:t>
            </w:r>
            <w:bookmarkStart w:id="4" w:name="_Toc59643773"/>
            <w:r w:rsidR="007A2E28" w:rsidRPr="007A2E28">
              <w:rPr>
                <w:b/>
                <w:sz w:val="26"/>
                <w:szCs w:val="26"/>
              </w:rPr>
              <w:t>Bảng</w:t>
            </w:r>
            <w:r w:rsidRPr="007A2E28">
              <w:rPr>
                <w:b/>
                <w:sz w:val="26"/>
                <w:szCs w:val="26"/>
              </w:rPr>
              <w:t xml:space="preserve"> </w:t>
            </w:r>
            <w:r w:rsidRPr="007A2E28">
              <w:rPr>
                <w:b/>
                <w:sz w:val="26"/>
                <w:szCs w:val="26"/>
              </w:rPr>
              <w:fldChar w:fldCharType="begin"/>
            </w:r>
            <w:r w:rsidRPr="007A2E28">
              <w:rPr>
                <w:b/>
                <w:sz w:val="26"/>
                <w:szCs w:val="26"/>
              </w:rPr>
              <w:instrText xml:space="preserve"> SEQ Bảng_9. \* ARABIC </w:instrText>
            </w:r>
            <w:r w:rsidRPr="007A2E28">
              <w:rPr>
                <w:b/>
                <w:sz w:val="26"/>
                <w:szCs w:val="26"/>
              </w:rPr>
              <w:fldChar w:fldCharType="separate"/>
            </w:r>
            <w:r w:rsidRPr="007A2E28">
              <w:rPr>
                <w:b/>
                <w:noProof/>
                <w:sz w:val="26"/>
                <w:szCs w:val="26"/>
              </w:rPr>
              <w:t>2</w:t>
            </w:r>
            <w:r w:rsidRPr="007A2E28">
              <w:rPr>
                <w:b/>
                <w:noProof/>
                <w:sz w:val="26"/>
                <w:szCs w:val="26"/>
              </w:rPr>
              <w:fldChar w:fldCharType="end"/>
            </w:r>
            <w:r w:rsidRPr="00570FE6">
              <w:rPr>
                <w:b/>
                <w:bCs/>
                <w:sz w:val="26"/>
                <w:szCs w:val="26"/>
              </w:rPr>
              <w:t xml:space="preserve"> </w:t>
            </w:r>
            <w:r w:rsidRPr="00570FE6">
              <w:rPr>
                <w:b/>
                <w:bCs/>
                <w:color w:val="000000"/>
                <w:sz w:val="26"/>
                <w:szCs w:val="26"/>
              </w:rPr>
              <w:t>Báo cáo kết quả kinh doanh dự báo năm N</w:t>
            </w:r>
            <w:bookmarkEnd w:id="4"/>
          </w:p>
        </w:tc>
      </w:tr>
      <w:tr w:rsidR="00745BDA" w:rsidRPr="00570FE6" w:rsidTr="007A2E28">
        <w:trPr>
          <w:trHeight w:val="310"/>
        </w:trPr>
        <w:tc>
          <w:tcPr>
            <w:tcW w:w="222" w:type="dxa"/>
            <w:tcBorders>
              <w:top w:val="nil"/>
              <w:left w:val="nil"/>
              <w:bottom w:val="nil"/>
              <w:right w:val="nil"/>
            </w:tcBorders>
            <w:shd w:val="clear" w:color="auto" w:fill="auto"/>
            <w:noWrap/>
            <w:vAlign w:val="bottom"/>
            <w:hideMark/>
          </w:tcPr>
          <w:p w:rsidR="00745BDA" w:rsidRPr="00570FE6" w:rsidRDefault="00745BDA" w:rsidP="00415C2A">
            <w:pPr>
              <w:spacing w:line="312" w:lineRule="auto"/>
              <w:jc w:val="center"/>
              <w:rPr>
                <w:b/>
                <w:bCs/>
                <w:color w:val="000000"/>
                <w:sz w:val="26"/>
                <w:szCs w:val="26"/>
              </w:rPr>
            </w:pPr>
          </w:p>
        </w:tc>
        <w:tc>
          <w:tcPr>
            <w:tcW w:w="1196"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3390"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2280" w:type="dxa"/>
            <w:gridSpan w:val="2"/>
            <w:tcBorders>
              <w:top w:val="nil"/>
              <w:left w:val="nil"/>
              <w:bottom w:val="nil"/>
              <w:right w:val="nil"/>
            </w:tcBorders>
            <w:shd w:val="clear" w:color="auto" w:fill="auto"/>
            <w:noWrap/>
            <w:vAlign w:val="bottom"/>
            <w:hideMark/>
          </w:tcPr>
          <w:p w:rsidR="00745BDA" w:rsidRPr="00570FE6" w:rsidRDefault="00745BDA" w:rsidP="00415C2A">
            <w:pPr>
              <w:spacing w:line="312" w:lineRule="auto"/>
              <w:rPr>
                <w:color w:val="000000"/>
                <w:sz w:val="26"/>
                <w:szCs w:val="26"/>
              </w:rPr>
            </w:pPr>
            <w:r w:rsidRPr="00570FE6">
              <w:rPr>
                <w:color w:val="000000"/>
                <w:sz w:val="26"/>
                <w:szCs w:val="26"/>
              </w:rPr>
              <w:t>ĐVT: 1.000 đồng</w:t>
            </w:r>
          </w:p>
        </w:tc>
        <w:tc>
          <w:tcPr>
            <w:tcW w:w="227"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color w:val="000000"/>
                <w:sz w:val="26"/>
                <w:szCs w:val="26"/>
              </w:rPr>
            </w:pPr>
          </w:p>
        </w:tc>
      </w:tr>
      <w:tr w:rsidR="00745BDA" w:rsidRPr="00570FE6" w:rsidTr="007A2E28">
        <w:trPr>
          <w:trHeight w:val="310"/>
        </w:trPr>
        <w:tc>
          <w:tcPr>
            <w:tcW w:w="222"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1196"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33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b/>
                <w:bCs/>
                <w:color w:val="000000"/>
                <w:sz w:val="26"/>
                <w:szCs w:val="26"/>
              </w:rPr>
            </w:pPr>
            <w:r w:rsidRPr="00570FE6">
              <w:rPr>
                <w:b/>
                <w:bCs/>
                <w:color w:val="000000"/>
                <w:sz w:val="26"/>
                <w:szCs w:val="26"/>
              </w:rPr>
              <w:t>Chỉ tiêu</w:t>
            </w:r>
          </w:p>
        </w:tc>
        <w:tc>
          <w:tcPr>
            <w:tcW w:w="1767" w:type="dxa"/>
            <w:tcBorders>
              <w:top w:val="single" w:sz="4" w:space="0" w:color="auto"/>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center"/>
              <w:rPr>
                <w:b/>
                <w:bCs/>
                <w:color w:val="000000"/>
                <w:sz w:val="26"/>
                <w:szCs w:val="26"/>
              </w:rPr>
            </w:pPr>
            <w:r w:rsidRPr="00570FE6">
              <w:rPr>
                <w:b/>
                <w:bCs/>
                <w:color w:val="000000"/>
                <w:sz w:val="26"/>
                <w:szCs w:val="26"/>
              </w:rPr>
              <w:t>Số tiền</w:t>
            </w:r>
          </w:p>
        </w:tc>
        <w:tc>
          <w:tcPr>
            <w:tcW w:w="513"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b/>
                <w:bCs/>
                <w:color w:val="000000"/>
                <w:sz w:val="26"/>
                <w:szCs w:val="26"/>
              </w:rPr>
            </w:pPr>
          </w:p>
        </w:tc>
        <w:tc>
          <w:tcPr>
            <w:tcW w:w="227"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r>
      <w:tr w:rsidR="00745BDA" w:rsidRPr="00570FE6" w:rsidTr="007A2E28">
        <w:trPr>
          <w:trHeight w:val="310"/>
        </w:trPr>
        <w:tc>
          <w:tcPr>
            <w:tcW w:w="222"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1196"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rPr>
                <w:color w:val="000000"/>
                <w:sz w:val="26"/>
                <w:szCs w:val="26"/>
              </w:rPr>
            </w:pPr>
            <w:r w:rsidRPr="00570FE6">
              <w:rPr>
                <w:color w:val="000000"/>
                <w:sz w:val="26"/>
                <w:szCs w:val="26"/>
              </w:rPr>
              <w:t>1. Doanh thu</w:t>
            </w:r>
          </w:p>
        </w:tc>
        <w:tc>
          <w:tcPr>
            <w:tcW w:w="1767"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1.118.000</w:t>
            </w:r>
          </w:p>
        </w:tc>
        <w:tc>
          <w:tcPr>
            <w:tcW w:w="513" w:type="dxa"/>
            <w:tcBorders>
              <w:top w:val="nil"/>
              <w:left w:val="nil"/>
              <w:bottom w:val="nil"/>
              <w:right w:val="nil"/>
            </w:tcBorders>
            <w:shd w:val="clear" w:color="auto" w:fill="auto"/>
            <w:noWrap/>
            <w:vAlign w:val="bottom"/>
            <w:hideMark/>
          </w:tcPr>
          <w:p w:rsidR="00745BDA" w:rsidRPr="00570FE6" w:rsidRDefault="00745BDA" w:rsidP="00415C2A">
            <w:pPr>
              <w:spacing w:line="312" w:lineRule="auto"/>
              <w:jc w:val="right"/>
              <w:rPr>
                <w:color w:val="000000"/>
                <w:sz w:val="26"/>
                <w:szCs w:val="26"/>
              </w:rPr>
            </w:pPr>
          </w:p>
        </w:tc>
        <w:tc>
          <w:tcPr>
            <w:tcW w:w="227"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r>
      <w:tr w:rsidR="00745BDA" w:rsidRPr="00570FE6" w:rsidTr="007A2E28">
        <w:trPr>
          <w:trHeight w:val="310"/>
        </w:trPr>
        <w:tc>
          <w:tcPr>
            <w:tcW w:w="222"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1196"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rPr>
                <w:color w:val="000000"/>
                <w:sz w:val="26"/>
                <w:szCs w:val="26"/>
              </w:rPr>
            </w:pPr>
            <w:r w:rsidRPr="00570FE6">
              <w:rPr>
                <w:color w:val="000000"/>
                <w:sz w:val="26"/>
                <w:szCs w:val="26"/>
              </w:rPr>
              <w:t>2. Giá vốn hàng bán</w:t>
            </w:r>
          </w:p>
        </w:tc>
        <w:tc>
          <w:tcPr>
            <w:tcW w:w="1767"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804.960</w:t>
            </w:r>
          </w:p>
        </w:tc>
        <w:tc>
          <w:tcPr>
            <w:tcW w:w="513" w:type="dxa"/>
            <w:tcBorders>
              <w:top w:val="nil"/>
              <w:left w:val="nil"/>
              <w:bottom w:val="nil"/>
              <w:right w:val="nil"/>
            </w:tcBorders>
            <w:shd w:val="clear" w:color="auto" w:fill="auto"/>
            <w:noWrap/>
            <w:vAlign w:val="bottom"/>
            <w:hideMark/>
          </w:tcPr>
          <w:p w:rsidR="00745BDA" w:rsidRPr="00570FE6" w:rsidRDefault="00745BDA" w:rsidP="00415C2A">
            <w:pPr>
              <w:spacing w:line="312" w:lineRule="auto"/>
              <w:jc w:val="right"/>
              <w:rPr>
                <w:color w:val="000000"/>
                <w:sz w:val="26"/>
                <w:szCs w:val="26"/>
              </w:rPr>
            </w:pPr>
          </w:p>
        </w:tc>
        <w:tc>
          <w:tcPr>
            <w:tcW w:w="227"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r>
      <w:tr w:rsidR="00745BDA" w:rsidRPr="00570FE6" w:rsidTr="007A2E28">
        <w:trPr>
          <w:trHeight w:val="310"/>
        </w:trPr>
        <w:tc>
          <w:tcPr>
            <w:tcW w:w="222"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1196"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rPr>
                <w:color w:val="000000"/>
                <w:sz w:val="26"/>
                <w:szCs w:val="26"/>
              </w:rPr>
            </w:pPr>
            <w:r w:rsidRPr="00570FE6">
              <w:rPr>
                <w:color w:val="000000"/>
                <w:sz w:val="26"/>
                <w:szCs w:val="26"/>
              </w:rPr>
              <w:t xml:space="preserve">3. Lợi nhuận gộp (1) - (2) </w:t>
            </w:r>
          </w:p>
        </w:tc>
        <w:tc>
          <w:tcPr>
            <w:tcW w:w="1767"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313.040</w:t>
            </w:r>
          </w:p>
        </w:tc>
        <w:tc>
          <w:tcPr>
            <w:tcW w:w="513" w:type="dxa"/>
            <w:tcBorders>
              <w:top w:val="nil"/>
              <w:left w:val="nil"/>
              <w:bottom w:val="nil"/>
              <w:right w:val="nil"/>
            </w:tcBorders>
            <w:shd w:val="clear" w:color="auto" w:fill="auto"/>
            <w:noWrap/>
            <w:vAlign w:val="bottom"/>
            <w:hideMark/>
          </w:tcPr>
          <w:p w:rsidR="00745BDA" w:rsidRPr="00570FE6" w:rsidRDefault="00745BDA" w:rsidP="00415C2A">
            <w:pPr>
              <w:spacing w:line="312" w:lineRule="auto"/>
              <w:jc w:val="right"/>
              <w:rPr>
                <w:color w:val="000000"/>
                <w:sz w:val="26"/>
                <w:szCs w:val="26"/>
              </w:rPr>
            </w:pPr>
          </w:p>
        </w:tc>
        <w:tc>
          <w:tcPr>
            <w:tcW w:w="227"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r>
      <w:tr w:rsidR="00745BDA" w:rsidRPr="00570FE6" w:rsidTr="007A2E28">
        <w:trPr>
          <w:trHeight w:val="310"/>
        </w:trPr>
        <w:tc>
          <w:tcPr>
            <w:tcW w:w="222"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1196"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rPr>
                <w:color w:val="000000"/>
                <w:sz w:val="26"/>
                <w:szCs w:val="26"/>
              </w:rPr>
            </w:pPr>
            <w:r w:rsidRPr="00570FE6">
              <w:rPr>
                <w:color w:val="000000"/>
                <w:sz w:val="26"/>
                <w:szCs w:val="26"/>
              </w:rPr>
              <w:t>4. CPBH và QLDN</w:t>
            </w:r>
          </w:p>
        </w:tc>
        <w:tc>
          <w:tcPr>
            <w:tcW w:w="1767"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156.520</w:t>
            </w:r>
          </w:p>
        </w:tc>
        <w:tc>
          <w:tcPr>
            <w:tcW w:w="513" w:type="dxa"/>
            <w:tcBorders>
              <w:top w:val="nil"/>
              <w:left w:val="nil"/>
              <w:bottom w:val="nil"/>
              <w:right w:val="nil"/>
            </w:tcBorders>
            <w:shd w:val="clear" w:color="auto" w:fill="auto"/>
            <w:noWrap/>
            <w:vAlign w:val="bottom"/>
            <w:hideMark/>
          </w:tcPr>
          <w:p w:rsidR="00745BDA" w:rsidRPr="00570FE6" w:rsidRDefault="00745BDA" w:rsidP="00415C2A">
            <w:pPr>
              <w:spacing w:line="312" w:lineRule="auto"/>
              <w:jc w:val="right"/>
              <w:rPr>
                <w:color w:val="000000"/>
                <w:sz w:val="26"/>
                <w:szCs w:val="26"/>
              </w:rPr>
            </w:pPr>
          </w:p>
        </w:tc>
        <w:tc>
          <w:tcPr>
            <w:tcW w:w="227"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r>
      <w:tr w:rsidR="00745BDA" w:rsidRPr="00570FE6" w:rsidTr="007A2E28">
        <w:trPr>
          <w:trHeight w:val="310"/>
        </w:trPr>
        <w:tc>
          <w:tcPr>
            <w:tcW w:w="222"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1196"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rPr>
                <w:color w:val="000000"/>
                <w:sz w:val="26"/>
                <w:szCs w:val="26"/>
              </w:rPr>
            </w:pPr>
            <w:r w:rsidRPr="00570FE6">
              <w:rPr>
                <w:color w:val="000000"/>
                <w:sz w:val="26"/>
                <w:szCs w:val="26"/>
              </w:rPr>
              <w:t>5. Lợi nhuận trước thuế (3)-(4)</w:t>
            </w:r>
          </w:p>
        </w:tc>
        <w:tc>
          <w:tcPr>
            <w:tcW w:w="1767"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156.520</w:t>
            </w:r>
          </w:p>
        </w:tc>
        <w:tc>
          <w:tcPr>
            <w:tcW w:w="513" w:type="dxa"/>
            <w:tcBorders>
              <w:top w:val="nil"/>
              <w:left w:val="nil"/>
              <w:bottom w:val="nil"/>
              <w:right w:val="nil"/>
            </w:tcBorders>
            <w:shd w:val="clear" w:color="auto" w:fill="auto"/>
            <w:noWrap/>
            <w:vAlign w:val="bottom"/>
            <w:hideMark/>
          </w:tcPr>
          <w:p w:rsidR="00745BDA" w:rsidRPr="00570FE6" w:rsidRDefault="00745BDA" w:rsidP="00415C2A">
            <w:pPr>
              <w:spacing w:line="312" w:lineRule="auto"/>
              <w:jc w:val="right"/>
              <w:rPr>
                <w:color w:val="000000"/>
                <w:sz w:val="26"/>
                <w:szCs w:val="26"/>
              </w:rPr>
            </w:pPr>
          </w:p>
        </w:tc>
        <w:tc>
          <w:tcPr>
            <w:tcW w:w="227"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r>
      <w:tr w:rsidR="00745BDA" w:rsidRPr="00570FE6" w:rsidTr="007A2E28">
        <w:trPr>
          <w:trHeight w:val="310"/>
        </w:trPr>
        <w:tc>
          <w:tcPr>
            <w:tcW w:w="222"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1196"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rPr>
                <w:color w:val="000000"/>
                <w:sz w:val="26"/>
                <w:szCs w:val="26"/>
              </w:rPr>
            </w:pPr>
            <w:r w:rsidRPr="00570FE6">
              <w:rPr>
                <w:color w:val="000000"/>
                <w:sz w:val="26"/>
                <w:szCs w:val="26"/>
              </w:rPr>
              <w:t>6. Chi phí thuế TNDN</w:t>
            </w:r>
          </w:p>
        </w:tc>
        <w:tc>
          <w:tcPr>
            <w:tcW w:w="1767"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31.304</w:t>
            </w:r>
          </w:p>
        </w:tc>
        <w:tc>
          <w:tcPr>
            <w:tcW w:w="513" w:type="dxa"/>
            <w:tcBorders>
              <w:top w:val="nil"/>
              <w:left w:val="nil"/>
              <w:bottom w:val="nil"/>
              <w:right w:val="nil"/>
            </w:tcBorders>
            <w:shd w:val="clear" w:color="auto" w:fill="auto"/>
            <w:noWrap/>
            <w:vAlign w:val="bottom"/>
            <w:hideMark/>
          </w:tcPr>
          <w:p w:rsidR="00745BDA" w:rsidRPr="00570FE6" w:rsidRDefault="00745BDA" w:rsidP="00415C2A">
            <w:pPr>
              <w:spacing w:line="312" w:lineRule="auto"/>
              <w:jc w:val="right"/>
              <w:rPr>
                <w:color w:val="000000"/>
                <w:sz w:val="26"/>
                <w:szCs w:val="26"/>
              </w:rPr>
            </w:pPr>
          </w:p>
        </w:tc>
        <w:tc>
          <w:tcPr>
            <w:tcW w:w="227"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r>
      <w:tr w:rsidR="00745BDA" w:rsidRPr="00570FE6" w:rsidTr="007A2E28">
        <w:trPr>
          <w:trHeight w:val="310"/>
        </w:trPr>
        <w:tc>
          <w:tcPr>
            <w:tcW w:w="222"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1196"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c>
          <w:tcPr>
            <w:tcW w:w="3390" w:type="dxa"/>
            <w:tcBorders>
              <w:top w:val="nil"/>
              <w:left w:val="single" w:sz="4" w:space="0" w:color="auto"/>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rPr>
                <w:color w:val="000000"/>
                <w:sz w:val="26"/>
                <w:szCs w:val="26"/>
              </w:rPr>
            </w:pPr>
            <w:r w:rsidRPr="00570FE6">
              <w:rPr>
                <w:color w:val="000000"/>
                <w:sz w:val="26"/>
                <w:szCs w:val="26"/>
              </w:rPr>
              <w:t>7. Lợi nhuận sau thuế (5)-(6)</w:t>
            </w:r>
          </w:p>
        </w:tc>
        <w:tc>
          <w:tcPr>
            <w:tcW w:w="1767" w:type="dxa"/>
            <w:tcBorders>
              <w:top w:val="nil"/>
              <w:left w:val="nil"/>
              <w:bottom w:val="single" w:sz="4" w:space="0" w:color="auto"/>
              <w:right w:val="single" w:sz="4" w:space="0" w:color="auto"/>
            </w:tcBorders>
            <w:shd w:val="clear" w:color="auto" w:fill="auto"/>
            <w:noWrap/>
            <w:vAlign w:val="bottom"/>
            <w:hideMark/>
          </w:tcPr>
          <w:p w:rsidR="00745BDA" w:rsidRPr="00570FE6" w:rsidRDefault="00745BDA" w:rsidP="00415C2A">
            <w:pPr>
              <w:spacing w:line="312" w:lineRule="auto"/>
              <w:jc w:val="right"/>
              <w:rPr>
                <w:color w:val="000000"/>
                <w:sz w:val="26"/>
                <w:szCs w:val="26"/>
              </w:rPr>
            </w:pPr>
            <w:r w:rsidRPr="00570FE6">
              <w:rPr>
                <w:color w:val="000000"/>
                <w:sz w:val="26"/>
                <w:szCs w:val="26"/>
              </w:rPr>
              <w:t>125.216</w:t>
            </w:r>
          </w:p>
        </w:tc>
        <w:tc>
          <w:tcPr>
            <w:tcW w:w="513" w:type="dxa"/>
            <w:tcBorders>
              <w:top w:val="nil"/>
              <w:left w:val="nil"/>
              <w:bottom w:val="nil"/>
              <w:right w:val="nil"/>
            </w:tcBorders>
            <w:shd w:val="clear" w:color="auto" w:fill="auto"/>
            <w:noWrap/>
            <w:vAlign w:val="bottom"/>
            <w:hideMark/>
          </w:tcPr>
          <w:p w:rsidR="00745BDA" w:rsidRPr="00570FE6" w:rsidRDefault="00745BDA" w:rsidP="00415C2A">
            <w:pPr>
              <w:spacing w:line="312" w:lineRule="auto"/>
              <w:jc w:val="right"/>
              <w:rPr>
                <w:color w:val="000000"/>
                <w:sz w:val="26"/>
                <w:szCs w:val="26"/>
              </w:rPr>
            </w:pPr>
          </w:p>
        </w:tc>
        <w:tc>
          <w:tcPr>
            <w:tcW w:w="227" w:type="dxa"/>
            <w:tcBorders>
              <w:top w:val="nil"/>
              <w:left w:val="nil"/>
              <w:bottom w:val="nil"/>
              <w:right w:val="nil"/>
            </w:tcBorders>
            <w:shd w:val="clear" w:color="auto" w:fill="auto"/>
            <w:noWrap/>
            <w:vAlign w:val="bottom"/>
            <w:hideMark/>
          </w:tcPr>
          <w:p w:rsidR="00745BDA" w:rsidRPr="00570FE6" w:rsidRDefault="00745BDA" w:rsidP="00415C2A">
            <w:pPr>
              <w:spacing w:line="312" w:lineRule="auto"/>
              <w:rPr>
                <w:sz w:val="26"/>
                <w:szCs w:val="26"/>
              </w:rPr>
            </w:pPr>
          </w:p>
        </w:tc>
      </w:tr>
    </w:tbl>
    <w:p w:rsidR="00745BDA" w:rsidRPr="00EB35CB" w:rsidRDefault="00745BDA" w:rsidP="00745BDA">
      <w:pPr>
        <w:spacing w:line="312" w:lineRule="auto"/>
        <w:jc w:val="both"/>
        <w:rPr>
          <w:i/>
          <w:iCs/>
          <w:sz w:val="26"/>
          <w:szCs w:val="26"/>
        </w:rPr>
      </w:pPr>
      <w:r w:rsidRPr="00EB35CB">
        <w:rPr>
          <w:i/>
          <w:iCs/>
          <w:sz w:val="26"/>
          <w:szCs w:val="26"/>
        </w:rPr>
        <w:t xml:space="preserve">                                     (Nguồn: </w:t>
      </w:r>
      <w:r w:rsidRPr="00EB35CB">
        <w:rPr>
          <w:bCs/>
          <w:i/>
          <w:iCs/>
          <w:sz w:val="26"/>
          <w:szCs w:val="26"/>
        </w:rPr>
        <w:t>Công ty TNHH thực phẩm Minh Anh</w:t>
      </w:r>
      <w:r w:rsidRPr="00EB35CB">
        <w:rPr>
          <w:i/>
          <w:iCs/>
          <w:sz w:val="26"/>
          <w:szCs w:val="26"/>
        </w:rPr>
        <w:t>)</w:t>
      </w:r>
    </w:p>
    <w:p w:rsidR="00644DDB" w:rsidRPr="00EB35CB" w:rsidRDefault="00644DDB">
      <w:pPr>
        <w:rPr>
          <w:sz w:val="26"/>
          <w:szCs w:val="26"/>
        </w:rPr>
      </w:pPr>
    </w:p>
    <w:p w:rsidR="00E23930" w:rsidRDefault="00EB35CB" w:rsidP="00E23930">
      <w:pPr>
        <w:pStyle w:val="4"/>
        <w:ind w:firstLine="720"/>
        <w:rPr>
          <w:b w:val="0"/>
          <w:bCs/>
          <w:i w:val="0"/>
          <w:iCs/>
          <w:color w:val="252525"/>
          <w:sz w:val="26"/>
          <w:szCs w:val="26"/>
          <w:lang w:val="en-US"/>
        </w:rPr>
      </w:pPr>
      <w:proofErr w:type="gramStart"/>
      <w:r>
        <w:rPr>
          <w:b w:val="0"/>
          <w:bCs/>
          <w:i w:val="0"/>
          <w:iCs/>
          <w:sz w:val="26"/>
          <w:szCs w:val="26"/>
          <w:lang w:val="en-US"/>
        </w:rPr>
        <w:t>Tóm lại d</w:t>
      </w:r>
      <w:r w:rsidR="00E23930" w:rsidRPr="00EB35CB">
        <w:rPr>
          <w:b w:val="0"/>
          <w:bCs/>
          <w:i w:val="0"/>
          <w:iCs/>
          <w:sz w:val="26"/>
          <w:szCs w:val="26"/>
        </w:rPr>
        <w:t>ự báo là một môn khoa học hết sức rộng lớn.</w:t>
      </w:r>
      <w:proofErr w:type="gramEnd"/>
      <w:r w:rsidR="00E23930" w:rsidRPr="00EB35CB">
        <w:rPr>
          <w:b w:val="0"/>
          <w:bCs/>
          <w:i w:val="0"/>
          <w:iCs/>
          <w:sz w:val="26"/>
          <w:szCs w:val="26"/>
        </w:rPr>
        <w:t xml:space="preserve"> Trong tài chính doanh nghiệp, dự báo là quá trình xem xét thời kỳ đã qua, nhìn nhận hiện tại và ước định tình hình tài chính của doanh nghiệp trong tương lai đặt trong một viễn cảnh nhất định</w:t>
      </w:r>
      <w:r w:rsidR="00E23930" w:rsidRPr="00EB35CB">
        <w:rPr>
          <w:b w:val="0"/>
          <w:bCs/>
          <w:i w:val="0"/>
          <w:iCs/>
          <w:sz w:val="26"/>
          <w:szCs w:val="26"/>
          <w:lang w:val="en-US"/>
        </w:rPr>
        <w:t xml:space="preserve">. </w:t>
      </w:r>
      <w:r w:rsidR="00E23930" w:rsidRPr="00EB35CB">
        <w:rPr>
          <w:b w:val="0"/>
          <w:bCs/>
          <w:i w:val="0"/>
          <w:iCs/>
          <w:color w:val="252525"/>
          <w:sz w:val="26"/>
          <w:szCs w:val="26"/>
        </w:rPr>
        <w:t>Dự báo tài chính có ý nghĩa đối với cả bên trong và bên ngoài doanh nghiệp. </w:t>
      </w:r>
    </w:p>
    <w:p w:rsidR="00EB35CB" w:rsidRPr="00A06CB9" w:rsidRDefault="00EB35CB" w:rsidP="00EB35CB">
      <w:pPr>
        <w:tabs>
          <w:tab w:val="left" w:pos="5387"/>
        </w:tabs>
        <w:spacing w:line="312" w:lineRule="auto"/>
        <w:rPr>
          <w:sz w:val="26"/>
          <w:szCs w:val="26"/>
        </w:rPr>
      </w:pPr>
      <w:r w:rsidRPr="00A06CB9">
        <w:rPr>
          <w:b/>
          <w:sz w:val="26"/>
          <w:szCs w:val="26"/>
        </w:rPr>
        <w:t>TÀI LIỆU THAM KHẢO</w:t>
      </w:r>
    </w:p>
    <w:p w:rsidR="00EB35CB" w:rsidRPr="00BF0EDA" w:rsidRDefault="00EB35CB" w:rsidP="00EB35CB">
      <w:pPr>
        <w:tabs>
          <w:tab w:val="left" w:pos="720"/>
        </w:tabs>
        <w:spacing w:line="360" w:lineRule="auto"/>
        <w:jc w:val="both"/>
        <w:rPr>
          <w:sz w:val="26"/>
          <w:szCs w:val="26"/>
        </w:rPr>
      </w:pPr>
      <w:r>
        <w:rPr>
          <w:sz w:val="26"/>
          <w:szCs w:val="26"/>
        </w:rPr>
        <w:t>1.</w:t>
      </w:r>
      <w:r w:rsidRPr="00BF0EDA">
        <w:rPr>
          <w:sz w:val="26"/>
          <w:szCs w:val="26"/>
        </w:rPr>
        <w:t xml:space="preserve"> Ngô Thế Chi, 2009, </w:t>
      </w:r>
      <w:r w:rsidRPr="00BF0EDA">
        <w:rPr>
          <w:i/>
          <w:sz w:val="26"/>
          <w:szCs w:val="26"/>
        </w:rPr>
        <w:t>Giáo trình phân tích Báo cáo tài chính doanh nghiệp</w:t>
      </w:r>
      <w:r w:rsidRPr="00BF0EDA">
        <w:rPr>
          <w:sz w:val="26"/>
          <w:szCs w:val="26"/>
        </w:rPr>
        <w:t>, NXB Tài chính</w:t>
      </w:r>
    </w:p>
    <w:p w:rsidR="00EB35CB" w:rsidRPr="00BF0EDA" w:rsidRDefault="00EB35CB" w:rsidP="00EB35CB">
      <w:pPr>
        <w:tabs>
          <w:tab w:val="left" w:pos="720"/>
        </w:tabs>
        <w:spacing w:line="360" w:lineRule="auto"/>
        <w:jc w:val="both"/>
        <w:rPr>
          <w:sz w:val="26"/>
          <w:szCs w:val="26"/>
        </w:rPr>
      </w:pPr>
      <w:r>
        <w:rPr>
          <w:sz w:val="26"/>
          <w:szCs w:val="26"/>
        </w:rPr>
        <w:t xml:space="preserve">2. </w:t>
      </w:r>
      <w:r w:rsidRPr="00BF0EDA">
        <w:rPr>
          <w:sz w:val="26"/>
          <w:szCs w:val="26"/>
        </w:rPr>
        <w:t xml:space="preserve">Nguyễn Năng Phúc, </w:t>
      </w:r>
      <w:r w:rsidRPr="00BF0EDA">
        <w:rPr>
          <w:i/>
          <w:sz w:val="26"/>
          <w:szCs w:val="26"/>
        </w:rPr>
        <w:t>Giáo trình Phân tích Báo cáo tài chính,</w:t>
      </w:r>
      <w:r w:rsidRPr="00BF0EDA">
        <w:rPr>
          <w:sz w:val="26"/>
          <w:szCs w:val="26"/>
        </w:rPr>
        <w:t xml:space="preserve"> NXB Đại học Kinh tế Quốc Dân, 2008</w:t>
      </w:r>
    </w:p>
    <w:p w:rsidR="00EB35CB" w:rsidRPr="00BF0EDA" w:rsidRDefault="00DC424B" w:rsidP="00EB35CB">
      <w:pPr>
        <w:tabs>
          <w:tab w:val="left" w:pos="720"/>
        </w:tabs>
        <w:spacing w:line="360" w:lineRule="auto"/>
        <w:jc w:val="both"/>
        <w:rPr>
          <w:sz w:val="26"/>
          <w:szCs w:val="26"/>
        </w:rPr>
      </w:pPr>
      <w:r>
        <w:rPr>
          <w:sz w:val="26"/>
          <w:szCs w:val="26"/>
        </w:rPr>
        <w:lastRenderedPageBreak/>
        <w:t xml:space="preserve">3. </w:t>
      </w:r>
      <w:bookmarkStart w:id="5" w:name="_GoBack"/>
      <w:bookmarkEnd w:id="5"/>
      <w:r>
        <w:rPr>
          <w:sz w:val="26"/>
          <w:szCs w:val="26"/>
        </w:rPr>
        <w:t>ht</w:t>
      </w:r>
      <w:r w:rsidRPr="00DC424B">
        <w:rPr>
          <w:sz w:val="26"/>
          <w:szCs w:val="26"/>
        </w:rPr>
        <w:t>tps://cpc1.com.vn/Files/Uploads/2024/03/15/20/07/Bao%20cao%20tai%20chinh%202023.pdf</w:t>
      </w:r>
    </w:p>
    <w:p w:rsidR="00EB35CB" w:rsidRPr="00EB35CB" w:rsidRDefault="00EB35CB" w:rsidP="00E23930">
      <w:pPr>
        <w:pStyle w:val="4"/>
        <w:ind w:firstLine="720"/>
        <w:rPr>
          <w:b w:val="0"/>
          <w:bCs/>
          <w:i w:val="0"/>
          <w:iCs/>
          <w:color w:val="252525"/>
          <w:sz w:val="26"/>
          <w:szCs w:val="26"/>
          <w:lang w:val="en-US"/>
        </w:rPr>
      </w:pPr>
    </w:p>
    <w:p w:rsidR="00EB35CB" w:rsidRPr="00EB35CB" w:rsidRDefault="00EB35CB" w:rsidP="00E23930">
      <w:pPr>
        <w:pStyle w:val="4"/>
        <w:ind w:firstLine="720"/>
        <w:rPr>
          <w:b w:val="0"/>
          <w:bCs/>
          <w:i w:val="0"/>
          <w:iCs/>
          <w:color w:val="252525"/>
          <w:sz w:val="26"/>
          <w:szCs w:val="26"/>
          <w:lang w:val="en-US"/>
        </w:rPr>
      </w:pPr>
    </w:p>
    <w:p w:rsidR="00E23930" w:rsidRPr="00EB35CB" w:rsidRDefault="00E23930">
      <w:pPr>
        <w:rPr>
          <w:sz w:val="26"/>
          <w:szCs w:val="26"/>
        </w:rPr>
      </w:pPr>
    </w:p>
    <w:sectPr w:rsidR="00E23930" w:rsidRPr="00EB35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BDA"/>
    <w:rsid w:val="00570FE6"/>
    <w:rsid w:val="00603806"/>
    <w:rsid w:val="00644DDB"/>
    <w:rsid w:val="00745BDA"/>
    <w:rsid w:val="007A2E28"/>
    <w:rsid w:val="00953661"/>
    <w:rsid w:val="00A65B34"/>
    <w:rsid w:val="00DC424B"/>
    <w:rsid w:val="00DE6324"/>
    <w:rsid w:val="00E23930"/>
    <w:rsid w:val="00EB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D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A65B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393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45BDA"/>
    <w:rPr>
      <w:b/>
      <w:bCs/>
      <w:sz w:val="20"/>
      <w:szCs w:val="20"/>
    </w:rPr>
  </w:style>
  <w:style w:type="paragraph" w:styleId="NormalWeb">
    <w:name w:val="Normal (Web)"/>
    <w:basedOn w:val="Normal"/>
    <w:uiPriority w:val="99"/>
    <w:rsid w:val="00745BDA"/>
    <w:pPr>
      <w:spacing w:before="100" w:beforeAutospacing="1" w:after="100" w:afterAutospacing="1"/>
    </w:pPr>
    <w:rPr>
      <w:rFonts w:eastAsia="Batang"/>
      <w:lang w:eastAsia="ko-KR"/>
    </w:rPr>
  </w:style>
  <w:style w:type="paragraph" w:customStyle="1" w:styleId="3">
    <w:name w:val="3"/>
    <w:basedOn w:val="Heading3"/>
    <w:link w:val="3Char"/>
    <w:qFormat/>
    <w:rsid w:val="00A65B34"/>
    <w:pPr>
      <w:keepNext w:val="0"/>
      <w:keepLines w:val="0"/>
      <w:widowControl w:val="0"/>
      <w:spacing w:before="0" w:line="312" w:lineRule="auto"/>
      <w:jc w:val="both"/>
    </w:pPr>
    <w:rPr>
      <w:rFonts w:ascii="Times New Roman" w:eastAsia="Times New Roman" w:hAnsi="Times New Roman" w:cs="Times New Roman"/>
      <w:color w:val="auto"/>
      <w:spacing w:val="4"/>
      <w:szCs w:val="26"/>
      <w:lang w:val="x-none" w:eastAsia="x-none"/>
    </w:rPr>
  </w:style>
  <w:style w:type="character" w:customStyle="1" w:styleId="3Char">
    <w:name w:val="3 Char"/>
    <w:link w:val="3"/>
    <w:rsid w:val="00A65B34"/>
    <w:rPr>
      <w:rFonts w:ascii="Times New Roman" w:eastAsia="Times New Roman" w:hAnsi="Times New Roman" w:cs="Times New Roman"/>
      <w:b/>
      <w:bCs/>
      <w:spacing w:val="4"/>
      <w:sz w:val="24"/>
      <w:szCs w:val="26"/>
      <w:lang w:val="x-none" w:eastAsia="x-none"/>
    </w:rPr>
  </w:style>
  <w:style w:type="character" w:customStyle="1" w:styleId="Heading3Char">
    <w:name w:val="Heading 3 Char"/>
    <w:basedOn w:val="DefaultParagraphFont"/>
    <w:link w:val="Heading3"/>
    <w:uiPriority w:val="9"/>
    <w:semiHidden/>
    <w:rsid w:val="00A65B34"/>
    <w:rPr>
      <w:rFonts w:asciiTheme="majorHAnsi" w:eastAsiaTheme="majorEastAsia" w:hAnsiTheme="majorHAnsi" w:cstheme="majorBidi"/>
      <w:b/>
      <w:bCs/>
      <w:color w:val="4F81BD" w:themeColor="accent1"/>
      <w:sz w:val="24"/>
      <w:szCs w:val="24"/>
    </w:rPr>
  </w:style>
  <w:style w:type="paragraph" w:customStyle="1" w:styleId="4">
    <w:name w:val="4"/>
    <w:basedOn w:val="Heading4"/>
    <w:link w:val="4Char"/>
    <w:qFormat/>
    <w:rsid w:val="00E23930"/>
    <w:pPr>
      <w:keepNext w:val="0"/>
      <w:keepLines w:val="0"/>
      <w:widowControl w:val="0"/>
      <w:spacing w:before="0" w:line="312" w:lineRule="auto"/>
      <w:jc w:val="both"/>
    </w:pPr>
    <w:rPr>
      <w:rFonts w:ascii="Times New Roman" w:eastAsia="Times New Roman" w:hAnsi="Times New Roman" w:cs="Times New Roman"/>
      <w:bCs w:val="0"/>
      <w:iCs w:val="0"/>
      <w:color w:val="auto"/>
      <w:szCs w:val="22"/>
      <w:lang w:val="x-none" w:eastAsia="x-none"/>
    </w:rPr>
  </w:style>
  <w:style w:type="character" w:customStyle="1" w:styleId="4Char">
    <w:name w:val="4 Char"/>
    <w:link w:val="4"/>
    <w:rsid w:val="00E23930"/>
    <w:rPr>
      <w:rFonts w:ascii="Times New Roman" w:eastAsia="Times New Roman" w:hAnsi="Times New Roman" w:cs="Times New Roman"/>
      <w:b/>
      <w:i/>
      <w:sz w:val="24"/>
      <w:lang w:val="x-none" w:eastAsia="x-none"/>
    </w:rPr>
  </w:style>
  <w:style w:type="character" w:customStyle="1" w:styleId="Heading4Char">
    <w:name w:val="Heading 4 Char"/>
    <w:basedOn w:val="DefaultParagraphFont"/>
    <w:link w:val="Heading4"/>
    <w:uiPriority w:val="9"/>
    <w:semiHidden/>
    <w:rsid w:val="00E23930"/>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BD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A65B3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2393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745BDA"/>
    <w:rPr>
      <w:b/>
      <w:bCs/>
      <w:sz w:val="20"/>
      <w:szCs w:val="20"/>
    </w:rPr>
  </w:style>
  <w:style w:type="paragraph" w:styleId="NormalWeb">
    <w:name w:val="Normal (Web)"/>
    <w:basedOn w:val="Normal"/>
    <w:uiPriority w:val="99"/>
    <w:rsid w:val="00745BDA"/>
    <w:pPr>
      <w:spacing w:before="100" w:beforeAutospacing="1" w:after="100" w:afterAutospacing="1"/>
    </w:pPr>
    <w:rPr>
      <w:rFonts w:eastAsia="Batang"/>
      <w:lang w:eastAsia="ko-KR"/>
    </w:rPr>
  </w:style>
  <w:style w:type="paragraph" w:customStyle="1" w:styleId="3">
    <w:name w:val="3"/>
    <w:basedOn w:val="Heading3"/>
    <w:link w:val="3Char"/>
    <w:qFormat/>
    <w:rsid w:val="00A65B34"/>
    <w:pPr>
      <w:keepNext w:val="0"/>
      <w:keepLines w:val="0"/>
      <w:widowControl w:val="0"/>
      <w:spacing w:before="0" w:line="312" w:lineRule="auto"/>
      <w:jc w:val="both"/>
    </w:pPr>
    <w:rPr>
      <w:rFonts w:ascii="Times New Roman" w:eastAsia="Times New Roman" w:hAnsi="Times New Roman" w:cs="Times New Roman"/>
      <w:color w:val="auto"/>
      <w:spacing w:val="4"/>
      <w:szCs w:val="26"/>
      <w:lang w:val="x-none" w:eastAsia="x-none"/>
    </w:rPr>
  </w:style>
  <w:style w:type="character" w:customStyle="1" w:styleId="3Char">
    <w:name w:val="3 Char"/>
    <w:link w:val="3"/>
    <w:rsid w:val="00A65B34"/>
    <w:rPr>
      <w:rFonts w:ascii="Times New Roman" w:eastAsia="Times New Roman" w:hAnsi="Times New Roman" w:cs="Times New Roman"/>
      <w:b/>
      <w:bCs/>
      <w:spacing w:val="4"/>
      <w:sz w:val="24"/>
      <w:szCs w:val="26"/>
      <w:lang w:val="x-none" w:eastAsia="x-none"/>
    </w:rPr>
  </w:style>
  <w:style w:type="character" w:customStyle="1" w:styleId="Heading3Char">
    <w:name w:val="Heading 3 Char"/>
    <w:basedOn w:val="DefaultParagraphFont"/>
    <w:link w:val="Heading3"/>
    <w:uiPriority w:val="9"/>
    <w:semiHidden/>
    <w:rsid w:val="00A65B34"/>
    <w:rPr>
      <w:rFonts w:asciiTheme="majorHAnsi" w:eastAsiaTheme="majorEastAsia" w:hAnsiTheme="majorHAnsi" w:cstheme="majorBidi"/>
      <w:b/>
      <w:bCs/>
      <w:color w:val="4F81BD" w:themeColor="accent1"/>
      <w:sz w:val="24"/>
      <w:szCs w:val="24"/>
    </w:rPr>
  </w:style>
  <w:style w:type="paragraph" w:customStyle="1" w:styleId="4">
    <w:name w:val="4"/>
    <w:basedOn w:val="Heading4"/>
    <w:link w:val="4Char"/>
    <w:qFormat/>
    <w:rsid w:val="00E23930"/>
    <w:pPr>
      <w:keepNext w:val="0"/>
      <w:keepLines w:val="0"/>
      <w:widowControl w:val="0"/>
      <w:spacing w:before="0" w:line="312" w:lineRule="auto"/>
      <w:jc w:val="both"/>
    </w:pPr>
    <w:rPr>
      <w:rFonts w:ascii="Times New Roman" w:eastAsia="Times New Roman" w:hAnsi="Times New Roman" w:cs="Times New Roman"/>
      <w:bCs w:val="0"/>
      <w:iCs w:val="0"/>
      <w:color w:val="auto"/>
      <w:szCs w:val="22"/>
      <w:lang w:val="x-none" w:eastAsia="x-none"/>
    </w:rPr>
  </w:style>
  <w:style w:type="character" w:customStyle="1" w:styleId="4Char">
    <w:name w:val="4 Char"/>
    <w:link w:val="4"/>
    <w:rsid w:val="00E23930"/>
    <w:rPr>
      <w:rFonts w:ascii="Times New Roman" w:eastAsia="Times New Roman" w:hAnsi="Times New Roman" w:cs="Times New Roman"/>
      <w:b/>
      <w:i/>
      <w:sz w:val="24"/>
      <w:lang w:val="x-none" w:eastAsia="x-none"/>
    </w:rPr>
  </w:style>
  <w:style w:type="character" w:customStyle="1" w:styleId="Heading4Char">
    <w:name w:val="Heading 4 Char"/>
    <w:basedOn w:val="DefaultParagraphFont"/>
    <w:link w:val="Heading4"/>
    <w:uiPriority w:val="9"/>
    <w:semiHidden/>
    <w:rsid w:val="00E23930"/>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dcterms:created xsi:type="dcterms:W3CDTF">2024-07-08T03:51:00Z</dcterms:created>
  <dcterms:modified xsi:type="dcterms:W3CDTF">2024-07-08T04:02:00Z</dcterms:modified>
</cp:coreProperties>
</file>