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05EC" w14:textId="72DC70BB" w:rsidR="007D1DBA" w:rsidRPr="00AC662E" w:rsidRDefault="007D1DBA" w:rsidP="00AA47D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MỘT SỐ VẤN ĐỀ VỀ DỰ THẢO LUẬT CÁC TỔ CHỨC TÍN DỤNG SỬA ĐỔI</w:t>
      </w:r>
    </w:p>
    <w:p w14:paraId="6615A2A4" w14:textId="789EA84F" w:rsidR="00BD2237" w:rsidRPr="00AC662E" w:rsidRDefault="00BD2237" w:rsidP="00BD2237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ThS</w:t>
      </w:r>
      <w:proofErr w:type="spellEnd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. </w:t>
      </w: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Nguyễn</w:t>
      </w:r>
      <w:proofErr w:type="spellEnd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Thị</w:t>
      </w:r>
      <w:proofErr w:type="spellEnd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Quỳnh</w:t>
      </w:r>
      <w:proofErr w:type="spellEnd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Giao – ĐH </w:t>
      </w: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Duy</w:t>
      </w:r>
      <w:proofErr w:type="spellEnd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Tân</w:t>
      </w:r>
      <w:proofErr w:type="spellEnd"/>
    </w:p>
    <w:p w14:paraId="64618DF4" w14:textId="2E4D502D" w:rsidR="000E4DB2" w:rsidRPr="00AC662E" w:rsidRDefault="000E4DB2" w:rsidP="00AA47D3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Tóm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tắt</w:t>
      </w:r>
      <w:proofErr w:type="spellEnd"/>
    </w:p>
    <w:p w14:paraId="5ED78F57" w14:textId="36A540DD" w:rsidR="00F034B7" w:rsidRPr="00AC662E" w:rsidRDefault="007D1DBA" w:rsidP="00945BAE">
      <w:pPr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trọng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cơ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pháp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lý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trọng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trong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tác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vận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hành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thực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hiện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quản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lý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giám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sát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Để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tạo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nên</w:t>
      </w:r>
      <w:proofErr w:type="spellEnd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sự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945BAE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45BAE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</w:t>
      </w:r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gân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hàng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Nhà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nước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Việt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Nam (NHNN)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đang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lấy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ý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kiến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tổ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chức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nhân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liên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quan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đến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bản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dự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thảo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mới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nhất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về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tổ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chức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tín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dụng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(TCTD)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sửa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đổi</w:t>
      </w:r>
      <w:proofErr w:type="spellEnd"/>
      <w:r w:rsidR="00F034B7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.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những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quy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định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chung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tại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dự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thảo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sẽ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kế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thừa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quy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định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tại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TCTD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47/2010/QH12,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17/2017/QH14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sửa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đổi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bổ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sung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điều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TCTD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47/2010.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Bên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cạnh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đó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dự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thảo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cũng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điều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chỉnh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nội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dung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để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phù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hợp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phạm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vi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điều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chỉnh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và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hoạt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TCTD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trên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thực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tiễn</w:t>
      </w:r>
      <w:proofErr w:type="spellEnd"/>
      <w:r w:rsidR="00A94BCA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. </w:t>
      </w:r>
    </w:p>
    <w:p w14:paraId="38DE83CE" w14:textId="09EF520D" w:rsidR="00BD3E4C" w:rsidRPr="00AC662E" w:rsidRDefault="00BD3E4C" w:rsidP="00AA47D3">
      <w:pPr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khoá</w:t>
      </w:r>
      <w:proofErr w:type="spellEnd"/>
      <w:r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Tổ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chức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tín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Ngân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hàng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Nhà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nước</w:t>
      </w:r>
      <w:proofErr w:type="spellEnd"/>
      <w:r w:rsidR="000E4DB2" w:rsidRPr="00AC66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…</w:t>
      </w:r>
    </w:p>
    <w:p w14:paraId="1651F3C6" w14:textId="084BB7F4" w:rsidR="00B837C4" w:rsidRPr="005D0BEE" w:rsidRDefault="00AC662E" w:rsidP="005D0BEE">
      <w:pPr>
        <w:spacing w:line="360" w:lineRule="auto"/>
        <w:jc w:val="both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5D0BEE">
        <w:rPr>
          <w:rFonts w:ascii="Times New Roman" w:hAnsi="Times New Roman" w:cs="Times New Roman"/>
          <w:b/>
          <w:color w:val="000000"/>
          <w:sz w:val="26"/>
          <w:szCs w:val="26"/>
        </w:rPr>
        <w:t>Tổ</w:t>
      </w:r>
      <w:proofErr w:type="spellEnd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>chức</w:t>
      </w:r>
      <w:proofErr w:type="spellEnd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>tín</w:t>
      </w:r>
      <w:proofErr w:type="spellEnd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>dụng</w:t>
      </w:r>
      <w:proofErr w:type="spellEnd"/>
      <w:r w:rsidR="00B837C4" w:rsidRPr="005D0B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FF55AC4" w14:textId="5982150F" w:rsidR="005D0BEE" w:rsidRPr="005D0BEE" w:rsidRDefault="00AC662E" w:rsidP="005D0BE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5D0BEE">
        <w:rPr>
          <w:i/>
          <w:color w:val="000000"/>
          <w:sz w:val="26"/>
          <w:szCs w:val="26"/>
        </w:rPr>
        <w:t xml:space="preserve">Theo </w:t>
      </w:r>
      <w:proofErr w:type="spellStart"/>
      <w:r w:rsidRPr="005D0BEE">
        <w:rPr>
          <w:i/>
          <w:color w:val="000000"/>
          <w:sz w:val="26"/>
          <w:szCs w:val="26"/>
        </w:rPr>
        <w:t>điều</w:t>
      </w:r>
      <w:proofErr w:type="spellEnd"/>
      <w:r w:rsidRPr="005D0BEE">
        <w:rPr>
          <w:i/>
          <w:color w:val="000000"/>
          <w:sz w:val="26"/>
          <w:szCs w:val="26"/>
        </w:rPr>
        <w:t xml:space="preserve"> 4 </w:t>
      </w:r>
      <w:proofErr w:type="spellStart"/>
      <w:r w:rsidRPr="005D0BEE">
        <w:rPr>
          <w:i/>
          <w:color w:val="000000"/>
          <w:sz w:val="26"/>
          <w:szCs w:val="26"/>
        </w:rPr>
        <w:t>tại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luật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tổ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chức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tín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dụng</w:t>
      </w:r>
      <w:proofErr w:type="spellEnd"/>
      <w:r w:rsidRPr="005D0BEE">
        <w:rPr>
          <w:i/>
          <w:color w:val="000000"/>
          <w:sz w:val="26"/>
          <w:szCs w:val="26"/>
        </w:rPr>
        <w:t xml:space="preserve"> </w:t>
      </w:r>
      <w:proofErr w:type="spellStart"/>
      <w:r w:rsidRPr="005D0BEE">
        <w:rPr>
          <w:i/>
          <w:color w:val="000000"/>
          <w:sz w:val="26"/>
          <w:szCs w:val="26"/>
        </w:rPr>
        <w:t>số</w:t>
      </w:r>
      <w:proofErr w:type="spellEnd"/>
      <w:r w:rsidRPr="005D0BEE">
        <w:rPr>
          <w:i/>
          <w:color w:val="000000"/>
          <w:sz w:val="26"/>
          <w:szCs w:val="26"/>
        </w:rPr>
        <w:t xml:space="preserve"> 47/2010/QH12</w:t>
      </w:r>
      <w:r w:rsidRPr="005D0BEE">
        <w:rPr>
          <w:color w:val="000000"/>
          <w:sz w:val="26"/>
          <w:szCs w:val="26"/>
        </w:rPr>
        <w:t xml:space="preserve">: </w:t>
      </w:r>
      <w:proofErr w:type="spellStart"/>
      <w:r w:rsidRPr="005D0BEE">
        <w:rPr>
          <w:color w:val="000000"/>
          <w:sz w:val="26"/>
          <w:szCs w:val="26"/>
        </w:rPr>
        <w:t>Tổ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chức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tín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dụng</w:t>
      </w:r>
      <w:proofErr w:type="spellEnd"/>
      <w:r w:rsidRPr="005D0BEE">
        <w:rPr>
          <w:color w:val="000000"/>
          <w:sz w:val="26"/>
          <w:szCs w:val="26"/>
        </w:rPr>
        <w:t> </w:t>
      </w:r>
      <w:proofErr w:type="spellStart"/>
      <w:r w:rsidRPr="005D0BEE">
        <w:rPr>
          <w:color w:val="000000"/>
          <w:sz w:val="26"/>
          <w:szCs w:val="26"/>
        </w:rPr>
        <w:t>là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doanh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nghiệp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thực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hiện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một</w:t>
      </w:r>
      <w:proofErr w:type="spellEnd"/>
      <w:r w:rsidRPr="005D0BEE">
        <w:rPr>
          <w:color w:val="000000"/>
          <w:sz w:val="26"/>
          <w:szCs w:val="26"/>
        </w:rPr>
        <w:t xml:space="preserve">, </w:t>
      </w:r>
      <w:proofErr w:type="spellStart"/>
      <w:r w:rsidRPr="005D0BEE">
        <w:rPr>
          <w:color w:val="000000"/>
          <w:sz w:val="26"/>
          <w:szCs w:val="26"/>
        </w:rPr>
        <w:t>một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số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hoặc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tất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cả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các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hoạt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động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ngân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hàng</w:t>
      </w:r>
      <w:proofErr w:type="spellEnd"/>
      <w:r w:rsidRPr="005D0BEE">
        <w:rPr>
          <w:color w:val="000000"/>
          <w:sz w:val="26"/>
          <w:szCs w:val="26"/>
        </w:rPr>
        <w:t xml:space="preserve">. </w:t>
      </w:r>
      <w:proofErr w:type="spellStart"/>
      <w:r w:rsidRPr="005D0BEE">
        <w:rPr>
          <w:color w:val="000000"/>
          <w:sz w:val="26"/>
          <w:szCs w:val="26"/>
        </w:rPr>
        <w:t>Tổ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chức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tín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dụng</w:t>
      </w:r>
      <w:proofErr w:type="spellEnd"/>
      <w:r w:rsidRPr="005D0BEE">
        <w:rPr>
          <w:color w:val="000000"/>
          <w:sz w:val="26"/>
          <w:szCs w:val="26"/>
        </w:rPr>
        <w:t xml:space="preserve"> bao </w:t>
      </w:r>
      <w:proofErr w:type="spellStart"/>
      <w:r w:rsidRPr="005D0BEE">
        <w:rPr>
          <w:color w:val="000000"/>
          <w:sz w:val="26"/>
          <w:szCs w:val="26"/>
        </w:rPr>
        <w:t>gồm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ngân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hàng</w:t>
      </w:r>
      <w:proofErr w:type="spellEnd"/>
      <w:r w:rsidRPr="005D0BEE">
        <w:rPr>
          <w:color w:val="000000"/>
          <w:sz w:val="26"/>
          <w:szCs w:val="26"/>
        </w:rPr>
        <w:t xml:space="preserve">, </w:t>
      </w:r>
      <w:proofErr w:type="spellStart"/>
      <w:r w:rsidRPr="005D0BEE">
        <w:rPr>
          <w:color w:val="000000"/>
          <w:sz w:val="26"/>
          <w:szCs w:val="26"/>
        </w:rPr>
        <w:t>tổ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chức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tín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dụng</w:t>
      </w:r>
      <w:proofErr w:type="spellEnd"/>
      <w:r w:rsidRPr="005D0BEE">
        <w:rPr>
          <w:color w:val="000000"/>
          <w:sz w:val="26"/>
          <w:szCs w:val="26"/>
        </w:rPr>
        <w:t xml:space="preserve"> phi </w:t>
      </w:r>
      <w:proofErr w:type="spellStart"/>
      <w:r w:rsidRPr="005D0BEE">
        <w:rPr>
          <w:color w:val="000000"/>
          <w:sz w:val="26"/>
          <w:szCs w:val="26"/>
        </w:rPr>
        <w:t>ngân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hàng</w:t>
      </w:r>
      <w:proofErr w:type="spellEnd"/>
      <w:r w:rsidRPr="005D0BEE">
        <w:rPr>
          <w:color w:val="000000"/>
          <w:sz w:val="26"/>
          <w:szCs w:val="26"/>
        </w:rPr>
        <w:t xml:space="preserve">, </w:t>
      </w:r>
      <w:proofErr w:type="spellStart"/>
      <w:r w:rsidRPr="005D0BEE">
        <w:rPr>
          <w:color w:val="000000"/>
          <w:sz w:val="26"/>
          <w:szCs w:val="26"/>
        </w:rPr>
        <w:t>tổ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chức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tài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chính</w:t>
      </w:r>
      <w:proofErr w:type="spellEnd"/>
      <w:r w:rsidRPr="005D0BEE">
        <w:rPr>
          <w:color w:val="000000"/>
          <w:sz w:val="26"/>
          <w:szCs w:val="26"/>
        </w:rPr>
        <w:t xml:space="preserve"> vi </w:t>
      </w:r>
      <w:proofErr w:type="spellStart"/>
      <w:r w:rsidRPr="005D0BEE">
        <w:rPr>
          <w:color w:val="000000"/>
          <w:sz w:val="26"/>
          <w:szCs w:val="26"/>
        </w:rPr>
        <w:t>mô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và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quỹ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tín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dụng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nhân</w:t>
      </w:r>
      <w:proofErr w:type="spellEnd"/>
      <w:r w:rsidRPr="005D0BEE">
        <w:rPr>
          <w:color w:val="000000"/>
          <w:sz w:val="26"/>
          <w:szCs w:val="26"/>
        </w:rPr>
        <w:t xml:space="preserve"> </w:t>
      </w:r>
      <w:proofErr w:type="spellStart"/>
      <w:r w:rsidRPr="005D0BEE">
        <w:rPr>
          <w:color w:val="000000"/>
          <w:sz w:val="26"/>
          <w:szCs w:val="26"/>
        </w:rPr>
        <w:t>dân</w:t>
      </w:r>
      <w:proofErr w:type="spellEnd"/>
      <w:r w:rsidRPr="005D0BEE">
        <w:rPr>
          <w:color w:val="000000"/>
          <w:sz w:val="26"/>
          <w:szCs w:val="26"/>
        </w:rPr>
        <w:t>.</w:t>
      </w:r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Hoạt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động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ngân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hàng</w:t>
      </w:r>
      <w:proofErr w:type="spellEnd"/>
      <w:r w:rsidR="005D0BEE" w:rsidRPr="005D0BEE">
        <w:rPr>
          <w:color w:val="000000"/>
          <w:sz w:val="26"/>
          <w:szCs w:val="26"/>
        </w:rPr>
        <w:t> </w:t>
      </w:r>
      <w:proofErr w:type="spellStart"/>
      <w:r w:rsidR="005D0BEE" w:rsidRPr="005D0BEE">
        <w:rPr>
          <w:color w:val="000000"/>
          <w:sz w:val="26"/>
          <w:szCs w:val="26"/>
        </w:rPr>
        <w:t>là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việc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kinh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doanh</w:t>
      </w:r>
      <w:proofErr w:type="spellEnd"/>
      <w:r w:rsidR="005D0BEE" w:rsidRPr="005D0BEE">
        <w:rPr>
          <w:color w:val="000000"/>
          <w:sz w:val="26"/>
          <w:szCs w:val="26"/>
        </w:rPr>
        <w:t xml:space="preserve">, </w:t>
      </w:r>
      <w:proofErr w:type="spellStart"/>
      <w:r w:rsidR="005D0BEE" w:rsidRPr="005D0BEE">
        <w:rPr>
          <w:color w:val="000000"/>
          <w:sz w:val="26"/>
          <w:szCs w:val="26"/>
        </w:rPr>
        <w:t>cung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ứng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thường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xuyên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một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hoặc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một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số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các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nghiệp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vụ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liên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quan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đến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n</w:t>
      </w:r>
      <w:r w:rsidR="005D0BEE" w:rsidRPr="005D0BEE">
        <w:rPr>
          <w:color w:val="000000"/>
          <w:sz w:val="26"/>
          <w:szCs w:val="26"/>
        </w:rPr>
        <w:t>hận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tiền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gửi</w:t>
      </w:r>
      <w:proofErr w:type="spellEnd"/>
      <w:r w:rsidR="005D0BEE" w:rsidRPr="005D0BEE">
        <w:rPr>
          <w:color w:val="000000"/>
          <w:sz w:val="26"/>
          <w:szCs w:val="26"/>
        </w:rPr>
        <w:t xml:space="preserve">; </w:t>
      </w:r>
      <w:proofErr w:type="spellStart"/>
      <w:r w:rsidR="005D0BEE" w:rsidRPr="005D0BEE">
        <w:rPr>
          <w:color w:val="000000"/>
          <w:sz w:val="26"/>
          <w:szCs w:val="26"/>
        </w:rPr>
        <w:t>cấp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tín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dụng</w:t>
      </w:r>
      <w:proofErr w:type="spellEnd"/>
      <w:r w:rsidR="005D0BEE" w:rsidRPr="005D0BEE">
        <w:rPr>
          <w:color w:val="000000"/>
          <w:sz w:val="26"/>
          <w:szCs w:val="26"/>
        </w:rPr>
        <w:t xml:space="preserve">; </w:t>
      </w:r>
      <w:proofErr w:type="spellStart"/>
      <w:r w:rsidR="005D0BEE" w:rsidRPr="005D0BEE">
        <w:rPr>
          <w:color w:val="000000"/>
          <w:sz w:val="26"/>
          <w:szCs w:val="26"/>
        </w:rPr>
        <w:t>cung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ứng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dịch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vụ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thanh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toán</w:t>
      </w:r>
      <w:proofErr w:type="spellEnd"/>
      <w:r w:rsidR="005D0BEE" w:rsidRPr="005D0BEE">
        <w:rPr>
          <w:color w:val="000000"/>
          <w:sz w:val="26"/>
          <w:szCs w:val="26"/>
        </w:rPr>
        <w:t xml:space="preserve"> qua </w:t>
      </w:r>
      <w:proofErr w:type="spellStart"/>
      <w:r w:rsidR="005D0BEE" w:rsidRPr="005D0BEE">
        <w:rPr>
          <w:color w:val="000000"/>
          <w:sz w:val="26"/>
          <w:szCs w:val="26"/>
        </w:rPr>
        <w:t>tài</w:t>
      </w:r>
      <w:proofErr w:type="spellEnd"/>
      <w:r w:rsidR="005D0BEE" w:rsidRPr="005D0BEE">
        <w:rPr>
          <w:color w:val="000000"/>
          <w:sz w:val="26"/>
          <w:szCs w:val="26"/>
        </w:rPr>
        <w:t xml:space="preserve"> </w:t>
      </w:r>
      <w:proofErr w:type="spellStart"/>
      <w:r w:rsidR="005D0BEE" w:rsidRPr="005D0BEE">
        <w:rPr>
          <w:color w:val="000000"/>
          <w:sz w:val="26"/>
          <w:szCs w:val="26"/>
        </w:rPr>
        <w:t>khoản</w:t>
      </w:r>
      <w:proofErr w:type="spellEnd"/>
      <w:r w:rsidR="005D0BEE" w:rsidRPr="005D0BEE">
        <w:rPr>
          <w:color w:val="000000"/>
          <w:sz w:val="26"/>
          <w:szCs w:val="26"/>
        </w:rPr>
        <w:t>.</w:t>
      </w:r>
      <w:r w:rsidR="005D0BEE">
        <w:rPr>
          <w:color w:val="000000"/>
          <w:sz w:val="26"/>
          <w:szCs w:val="26"/>
        </w:rPr>
        <w:t xml:space="preserve"> Theo </w:t>
      </w:r>
      <w:proofErr w:type="spellStart"/>
      <w:r w:rsidR="005D0BEE">
        <w:rPr>
          <w:color w:val="000000"/>
          <w:sz w:val="26"/>
          <w:szCs w:val="26"/>
        </w:rPr>
        <w:t>đó</w:t>
      </w:r>
      <w:proofErr w:type="spellEnd"/>
      <w:r w:rsidR="005D0BEE">
        <w:rPr>
          <w:color w:val="000000"/>
          <w:sz w:val="26"/>
          <w:szCs w:val="26"/>
        </w:rPr>
        <w:t xml:space="preserve">, </w:t>
      </w:r>
      <w:proofErr w:type="spellStart"/>
      <w:r w:rsidR="005D0BEE">
        <w:rPr>
          <w:color w:val="000000"/>
          <w:sz w:val="26"/>
          <w:szCs w:val="26"/>
        </w:rPr>
        <w:t>tổ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chức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tín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dụng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là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đơn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vị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sẽ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thực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hiện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kinh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doanh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cả</w:t>
      </w:r>
      <w:proofErr w:type="spellEnd"/>
      <w:r w:rsidR="005D0BEE">
        <w:rPr>
          <w:color w:val="000000"/>
          <w:sz w:val="26"/>
          <w:szCs w:val="26"/>
        </w:rPr>
        <w:t xml:space="preserve"> 3 </w:t>
      </w:r>
      <w:proofErr w:type="spellStart"/>
      <w:r w:rsidR="005D0BEE">
        <w:rPr>
          <w:color w:val="000000"/>
          <w:sz w:val="26"/>
          <w:szCs w:val="26"/>
        </w:rPr>
        <w:t>mảng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dịch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vụ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trên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hoặc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một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số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các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dịch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vụ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nêu</w:t>
      </w:r>
      <w:proofErr w:type="spellEnd"/>
      <w:r w:rsidR="005D0BEE">
        <w:rPr>
          <w:color w:val="000000"/>
          <w:sz w:val="26"/>
          <w:szCs w:val="26"/>
        </w:rPr>
        <w:t xml:space="preserve"> </w:t>
      </w:r>
      <w:proofErr w:type="spellStart"/>
      <w:r w:rsidR="005D0BEE">
        <w:rPr>
          <w:color w:val="000000"/>
          <w:sz w:val="26"/>
          <w:szCs w:val="26"/>
        </w:rPr>
        <w:t>trên</w:t>
      </w:r>
      <w:proofErr w:type="spellEnd"/>
      <w:r w:rsidR="005D0BEE">
        <w:rPr>
          <w:color w:val="000000"/>
          <w:sz w:val="26"/>
          <w:szCs w:val="26"/>
        </w:rPr>
        <w:t>.</w:t>
      </w:r>
    </w:p>
    <w:p w14:paraId="3162703F" w14:textId="2ABF3E61" w:rsidR="00B837C4" w:rsidRPr="00AC662E" w:rsidRDefault="00B837C4" w:rsidP="00C64653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dụng</w:t>
      </w:r>
      <w:proofErr w:type="spellEnd"/>
    </w:p>
    <w:p w14:paraId="735FDFE6" w14:textId="03589A19" w:rsidR="00B837C4" w:rsidRPr="00AC662E" w:rsidRDefault="00B837C4" w:rsidP="00B837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="Times New Roman"/>
          <w:iCs/>
          <w:color w:val="000000"/>
          <w:sz w:val="26"/>
          <w:szCs w:val="26"/>
        </w:rPr>
      </w:pP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Về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TCTD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: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thương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mại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trong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phần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trừ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khoản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2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Điều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này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thực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hiện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phương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cơ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cấu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cấp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thẩm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phê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duyệt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thương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mại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nhiệm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một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viên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do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sở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100%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vốn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điều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lệ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phi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trong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phần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lastRenderedPageBreak/>
        <w:t>trách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nhiệm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liên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doanh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100%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vốn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ngoài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nhiệm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tác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xã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quỹ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tác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xã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>.</w:t>
      </w:r>
      <w:r w:rsidR="00177590"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tài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chính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vi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mô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thành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lập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dưới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hình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ty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nhiệm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>.</w:t>
      </w:r>
    </w:p>
    <w:p w14:paraId="3A8711F9" w14:textId="0DB26A00" w:rsidR="00B837C4" w:rsidRPr="00AC662E" w:rsidRDefault="00177590" w:rsidP="00D036B6">
      <w:pPr>
        <w:pStyle w:val="NormalWeb"/>
        <w:spacing w:before="0" w:beforeAutospacing="0" w:after="0" w:afterAutospacing="0" w:line="360" w:lineRule="auto"/>
        <w:jc w:val="both"/>
        <w:rPr>
          <w:rFonts w:eastAsia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eastAsia="Times New Roman"/>
          <w:b/>
          <w:iCs/>
          <w:color w:val="000000"/>
          <w:sz w:val="26"/>
          <w:szCs w:val="26"/>
        </w:rPr>
        <w:t>Quyền</w:t>
      </w:r>
      <w:proofErr w:type="spellEnd"/>
      <w:r w:rsidRPr="00AC662E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b/>
          <w:iCs/>
          <w:color w:val="000000"/>
          <w:sz w:val="26"/>
          <w:szCs w:val="26"/>
        </w:rPr>
        <w:t>lợi</w:t>
      </w:r>
      <w:proofErr w:type="spellEnd"/>
      <w:r w:rsidRPr="00AC662E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b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b/>
          <w:iCs/>
          <w:color w:val="000000"/>
          <w:sz w:val="26"/>
          <w:szCs w:val="26"/>
        </w:rPr>
        <w:t>khách</w:t>
      </w:r>
      <w:proofErr w:type="spellEnd"/>
      <w:r w:rsidRPr="00AC662E">
        <w:rPr>
          <w:rFonts w:eastAsia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b/>
          <w:iCs/>
          <w:color w:val="000000"/>
          <w:sz w:val="26"/>
          <w:szCs w:val="26"/>
        </w:rPr>
        <w:t>hàng</w:t>
      </w:r>
      <w:proofErr w:type="spellEnd"/>
    </w:p>
    <w:p w14:paraId="109949A2" w14:textId="1338AF30" w:rsidR="00177590" w:rsidRPr="00AC662E" w:rsidRDefault="00177590" w:rsidP="0017759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="Times New Roman"/>
          <w:iCs/>
          <w:color w:val="000000"/>
          <w:sz w:val="26"/>
          <w:szCs w:val="26"/>
        </w:rPr>
      </w:pP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chi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nhánh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ngoài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nhiệm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tham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bảo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toàn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bảo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hiểm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theo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pháp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bố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khai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việc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tham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bảo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toàn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bảo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hiểm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trụ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sở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chính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chi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nhánh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;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Tạo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thuận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lợi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rút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bảo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đảm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thanh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toán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đủ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đúng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hạn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gốc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lãi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các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khoản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;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Từ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chối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việc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điều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phong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tỏa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cầm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giữ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trích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chuyển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trừ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yêu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cầu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cơ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quan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thẩm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theo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pháp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hoặc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sự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chấp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thuận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;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báo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khai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lãi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suất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tiền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gửi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phí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vụ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các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quyền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nghĩa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vụ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khách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đối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với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từng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loại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sản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phẩm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vụ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đang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cung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ứng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;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bố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thời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chính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được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tự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ý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ngừng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vào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thời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đã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công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bố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ngừng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trong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thời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chính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chi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nhánh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ngoài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phải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niêm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yết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chậm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nhất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là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24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giờ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thời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điểm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ngừng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hợp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, chi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nhánh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ngoài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ngừng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giao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dịch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từ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05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ngày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làm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việc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trở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lên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thực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hiện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theo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tại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điểm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e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khoản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1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Điều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28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eastAsia="Times New Roman"/>
          <w:iCs/>
          <w:color w:val="000000"/>
          <w:sz w:val="26"/>
          <w:szCs w:val="26"/>
        </w:rPr>
        <w:t>này</w:t>
      </w:r>
      <w:proofErr w:type="spellEnd"/>
      <w:r w:rsidRPr="00AC662E">
        <w:rPr>
          <w:rFonts w:eastAsia="Times New Roman"/>
          <w:iCs/>
          <w:color w:val="000000"/>
          <w:sz w:val="26"/>
          <w:szCs w:val="26"/>
        </w:rPr>
        <w:t>.</w:t>
      </w:r>
    </w:p>
    <w:p w14:paraId="7F7529D3" w14:textId="4EB3ED04" w:rsidR="00177590" w:rsidRPr="00AC662E" w:rsidRDefault="00177590" w:rsidP="00D036B6">
      <w:pPr>
        <w:spacing w:line="36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Những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mới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dự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thảo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Các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sửa</w:t>
      </w:r>
      <w:proofErr w:type="spellEnd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đổi</w:t>
      </w:r>
      <w:proofErr w:type="spellEnd"/>
    </w:p>
    <w:p w14:paraId="760F2A6D" w14:textId="4594C6D4" w:rsidR="00336C8C" w:rsidRPr="00AC662E" w:rsidRDefault="00EA5F15" w:rsidP="00AA47D3">
      <w:pPr>
        <w:spacing w:line="36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nước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(NHNN)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đang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lấy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ý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kiến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Dự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thảo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Các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(TCTD) (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sửa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đổi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)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những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mới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như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giảm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tỷ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lệ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tối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đa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cá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nhân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người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liên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nhằm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siết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lại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tình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trạng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hữu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chéo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lạm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quyền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cho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nhóm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cổ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đông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tại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nhà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băng</w:t>
      </w:r>
      <w:proofErr w:type="spellEnd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  <w:r w:rsidR="00A71226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NHNN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giảm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mạnh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tối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khách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nhóm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khách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giảm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tối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32B2D"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NHNN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loạt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siết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513F11" w14:textId="77777777" w:rsidR="00D036B6" w:rsidRDefault="0021708C" w:rsidP="00D036B6">
      <w:pPr>
        <w:spacing w:line="360" w:lineRule="auto"/>
        <w:jc w:val="both"/>
        <w:outlineLvl w:val="1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Về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giới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hạn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dụng</w:t>
      </w:r>
      <w:proofErr w:type="spellEnd"/>
    </w:p>
    <w:p w14:paraId="0836326A" w14:textId="1BED51A2" w:rsidR="00336C8C" w:rsidRPr="00AC662E" w:rsidRDefault="00336C8C" w:rsidP="00D036B6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lastRenderedPageBreak/>
        <w:t>Cụ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NHNN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832B2D" w:rsidRPr="00AC662E">
        <w:rPr>
          <w:rFonts w:ascii="Times New Roman" w:eastAsia="Cambria" w:hAnsi="Times New Roman" w:cs="Times New Roman"/>
          <w:sz w:val="26"/>
          <w:szCs w:val="26"/>
        </w:rPr>
        <w:t>ổng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mức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dư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nợ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cấp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đối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với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một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khách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không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được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vượt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quá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10%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vốn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tự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có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của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thương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mại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chi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nhánh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nước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ngoài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quỹ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nhân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tổ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chức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tài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chính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vi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mô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. </w:t>
      </w:r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So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giảm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5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%,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15%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đang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832B2D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7369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NHNN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dư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vượt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15%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vốn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tự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có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của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thương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mại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chi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nhánh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nước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ngoài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quỹ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nhân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dân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tổ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chức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tài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chính</w:t>
      </w:r>
      <w:proofErr w:type="spellEnd"/>
      <w:r w:rsidR="00832B2D" w:rsidRPr="00AC662E">
        <w:rPr>
          <w:rFonts w:ascii="Times New Roman" w:eastAsia="Cambria" w:hAnsi="Times New Roman" w:cs="Times New Roman"/>
          <w:sz w:val="26"/>
          <w:szCs w:val="26"/>
        </w:rPr>
        <w:t xml:space="preserve"> vi </w:t>
      </w:r>
      <w:proofErr w:type="spellStart"/>
      <w:r w:rsidR="00832B2D" w:rsidRPr="00AC662E">
        <w:rPr>
          <w:rFonts w:ascii="Times New Roman" w:eastAsia="Cambria" w:hAnsi="Times New Roman" w:cs="Times New Roman"/>
          <w:sz w:val="26"/>
          <w:szCs w:val="26"/>
        </w:rPr>
        <w:t>mô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25%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43B0BE2" w14:textId="09A86672" w:rsidR="007B1343" w:rsidRPr="00AC662E" w:rsidRDefault="00832B2D" w:rsidP="007B1343">
      <w:pPr>
        <w:spacing w:line="360" w:lineRule="auto"/>
        <w:ind w:firstLine="720"/>
        <w:jc w:val="both"/>
        <w:rPr>
          <w:rFonts w:ascii="Times New Roman" w:eastAsia="Cambria" w:hAnsi="Times New Roman" w:cs="Times New Roman"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Tổng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mức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dư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cấp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đối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một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khách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không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vượt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quá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25%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tự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có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phi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;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tổng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mức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dư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cấp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đối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một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khách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và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người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có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liên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quan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không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vượt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quá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50%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tự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có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phi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sz w:val="26"/>
          <w:szCs w:val="26"/>
        </w:rPr>
        <w:t>.</w:t>
      </w:r>
      <w:r w:rsidR="003F7369" w:rsidRPr="00AC662E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430538A0" w14:textId="7A618140" w:rsidR="00336C8C" w:rsidRPr="00AC662E" w:rsidRDefault="00336C8C" w:rsidP="007B1343">
      <w:pPr>
        <w:spacing w:line="360" w:lineRule="auto"/>
        <w:ind w:firstLine="72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Ở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NHNN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tín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đãi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7369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0AE9200" w14:textId="483F333C" w:rsidR="00336C8C" w:rsidRPr="00AC662E" w:rsidRDefault="007B1343" w:rsidP="00D036B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Tỷ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lệ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hữu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cổ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đông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cá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nhân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tại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color w:val="000000"/>
          <w:sz w:val="26"/>
          <w:szCs w:val="26"/>
        </w:rPr>
        <w:t>hàng</w:t>
      </w:r>
      <w:proofErr w:type="spellEnd"/>
      <w:r w:rsidR="00177590" w:rsidRPr="00AC662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siết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vay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tối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NHNN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siết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7369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Theo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3%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thấp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5%.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10%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trừ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thấp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15%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đang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F7369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10%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NHNN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TCTD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kiểm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soát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đặc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án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cấu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thẩm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phê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duyệt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TCTD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ty con,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TCTD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="00336C8C"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EDCE39" w14:textId="77777777" w:rsidR="00177590" w:rsidRPr="00AC662E" w:rsidRDefault="00336C8C" w:rsidP="0017759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ra,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tối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20%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NHNN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15%.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cổ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5%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vốn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94D5E0" w14:textId="7548C3A2" w:rsidR="00076AEA" w:rsidRPr="00AC662E" w:rsidRDefault="00076AEA" w:rsidP="00D036B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lastRenderedPageBreak/>
        <w:t>Đối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sản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đảm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bảo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xấu</w:t>
      </w:r>
      <w:proofErr w:type="spellEnd"/>
      <w:r w:rsidR="00177590"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xấu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xấu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TCTD, chi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xấu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42/2017/QH14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AC662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A24A591" w14:textId="0C2CA30D" w:rsidR="00AA47D3" w:rsidRPr="00AC662E" w:rsidRDefault="00AA47D3" w:rsidP="00076AE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</w:t>
      </w:r>
      <w:r w:rsidR="00076AEA" w:rsidRPr="00AC662E">
        <w:rPr>
          <w:rFonts w:ascii="Times New Roman" w:eastAsia="Cambria" w:hAnsi="Times New Roman" w:cs="Times New Roman"/>
          <w:iCs/>
          <w:sz w:val="26"/>
          <w:szCs w:val="26"/>
        </w:rPr>
        <w:t>iệc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được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áp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dụng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các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định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bao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gồm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: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bao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gồm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đang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hạch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toán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bảng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đối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kê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́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toán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của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tô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̉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chức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tín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dụng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khoản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̣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xấu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nhưng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chưa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hồi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được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̣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đang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dõi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ngoài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bảng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đối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kê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́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toán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định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của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hàng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̀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nước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nhưng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chưa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hồi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được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̣.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khai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minh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bạch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;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thị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cao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hoặc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thấp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dư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gốc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đang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hạch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kế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trừ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liên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100%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chuyển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bằng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phiếu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đặc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biệt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thành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thị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hướng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dẫn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Việt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Nam.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thỏa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thuận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phân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chia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phần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trị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còn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lại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(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nếu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)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tiền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thu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hồi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từ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nợ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xấu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sau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khi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trừ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các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chi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phí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lý</w:t>
      </w:r>
      <w:proofErr w:type="spellEnd"/>
      <w:r w:rsidR="00C5006F" w:rsidRPr="00AC662E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14:paraId="2967E32D" w14:textId="1DCBD5D5" w:rsidR="00390649" w:rsidRPr="00AC662E" w:rsidRDefault="00C5006F" w:rsidP="00D036B6">
      <w:pPr>
        <w:spacing w:line="360" w:lineRule="auto"/>
        <w:jc w:val="both"/>
        <w:rPr>
          <w:rFonts w:ascii="Times New Roman" w:eastAsia="Cambria" w:hAnsi="Times New Roman" w:cs="Times New Roman"/>
          <w:b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quản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trị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điều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hành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TCTD</w:t>
      </w:r>
      <w:r w:rsidR="00177590"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: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những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kế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thừa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sửa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đổi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một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số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TCTD.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Cụ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thể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xuất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sửa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đổi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những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không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cùng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nhiệm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;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NHNN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đình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chỉ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tạm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đình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chỉ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danh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Hội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đồng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Hội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đồng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thành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viên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Ban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kiểm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soát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Tổng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giám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đốc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(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Giám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đốc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)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người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không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bảo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tiêu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chuẩn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nhiệm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tại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qua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đó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nâng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cao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hơn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nữa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năng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lực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hạn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chế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sở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hữu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chéo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hệ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thống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</w:p>
    <w:p w14:paraId="6B521CF6" w14:textId="5C8A3941" w:rsidR="00390649" w:rsidRPr="00AC662E" w:rsidRDefault="00390649" w:rsidP="00BD2237">
      <w:pPr>
        <w:spacing w:line="360" w:lineRule="auto"/>
        <w:ind w:firstLine="720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lastRenderedPageBreak/>
        <w:t>Đồng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thời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trừ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Kế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trưởng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đốc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chi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đốc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ty con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người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làm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diện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phần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góp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nghiệp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nắm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từ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50%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lệ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trở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lên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;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người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chỉ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tham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kiểm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soát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yêu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cầu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nhiệm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sửa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đổi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bộ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viên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...</w:t>
      </w:r>
      <w:r w:rsidR="00BD2237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NHNN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nhấn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khó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khăn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vướng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mắc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sinh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trên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thực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tế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sửa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đổi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làm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rõ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cố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góp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mua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phần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góp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nghiệp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thuộc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thẩm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quyền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hội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đồng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Hội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đồng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</w:p>
    <w:p w14:paraId="65028DEC" w14:textId="77777777" w:rsidR="00D036B6" w:rsidRDefault="00BD2237" w:rsidP="00D036B6">
      <w:pPr>
        <w:spacing w:line="360" w:lineRule="auto"/>
        <w:jc w:val="both"/>
        <w:rPr>
          <w:rFonts w:ascii="Times New Roman" w:eastAsia="Cambria" w:hAnsi="Times New Roman" w:cs="Times New Roman"/>
          <w:b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Những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thay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đổi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thương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mạ</w:t>
      </w:r>
      <w:r w:rsidR="00D036B6">
        <w:rPr>
          <w:rFonts w:ascii="Times New Roman" w:eastAsia="Cambria" w:hAnsi="Times New Roman" w:cs="Times New Roman"/>
          <w:b/>
          <w:iCs/>
          <w:sz w:val="26"/>
          <w:szCs w:val="26"/>
        </w:rPr>
        <w:t>i</w:t>
      </w:r>
      <w:proofErr w:type="spellEnd"/>
    </w:p>
    <w:p w14:paraId="12B203B0" w14:textId="333074EE" w:rsidR="00BD2237" w:rsidRPr="00AC662E" w:rsidRDefault="00BD2237" w:rsidP="00D036B6">
      <w:pPr>
        <w:spacing w:line="360" w:lineRule="auto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Bên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cạnh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đó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nội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dung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liên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quan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đến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kiến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nghị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chỉnh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bằng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tử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bao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gồm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: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nguyên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tắc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thực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bằng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tử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NHNN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khác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TCTD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giao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dịch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tử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;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chỉnh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cấp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bằng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điện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tử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tại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nội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bộ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xét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duyệt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cấp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lưu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trữ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hồ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sơ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;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giao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phủ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cơ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chế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thử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nghiệm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kiểm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soát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công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nghệ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lĩnh</w:t>
      </w:r>
      <w:proofErr w:type="spellEnd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390649" w:rsidRPr="00AC662E">
        <w:rPr>
          <w:rFonts w:ascii="Times New Roman" w:eastAsia="Cambria" w:hAnsi="Times New Roman" w:cs="Times New Roman"/>
          <w:iCs/>
          <w:sz w:val="26"/>
          <w:szCs w:val="26"/>
        </w:rPr>
        <w:t>vự</w:t>
      </w:r>
      <w:r w:rsidRPr="00AC662E">
        <w:rPr>
          <w:rFonts w:ascii="Times New Roman" w:eastAsia="Cambria" w:hAnsi="Times New Roman" w:cs="Times New Roman"/>
          <w:iCs/>
          <w:sz w:val="26"/>
          <w:szCs w:val="26"/>
        </w:rPr>
        <w:t>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CB3295"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thương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thư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vào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cấp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ánh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đúng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chất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này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đồng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thời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lược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bỏ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"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kỳ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phiếu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phiếu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" do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thực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tế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trình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thực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hiện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không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sinh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"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giao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"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lĩnh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vực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thanh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chỉnh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một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số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rõ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</w:p>
    <w:p w14:paraId="0CCCF0D2" w14:textId="39245139" w:rsidR="00D036B6" w:rsidRDefault="00BD2237" w:rsidP="00D036B6">
      <w:pPr>
        <w:spacing w:line="360" w:lineRule="auto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TCTD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là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tác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xã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chính</w:t>
      </w:r>
      <w:proofErr w:type="spellEnd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 vi </w:t>
      </w:r>
      <w:proofErr w:type="spellStart"/>
      <w:r w:rsidRPr="00AC662E">
        <w:rPr>
          <w:rFonts w:ascii="Times New Roman" w:eastAsia="Cambria" w:hAnsi="Times New Roman" w:cs="Times New Roman"/>
          <w:b/>
          <w:iCs/>
          <w:sz w:val="26"/>
          <w:szCs w:val="26"/>
        </w:rPr>
        <w:t>mô</w:t>
      </w:r>
      <w:proofErr w:type="spellEnd"/>
    </w:p>
    <w:p w14:paraId="70FAC519" w14:textId="2E0B912B" w:rsidR="00065D23" w:rsidRPr="00AC662E" w:rsidRDefault="00BD2237" w:rsidP="00D036B6">
      <w:pPr>
        <w:spacing w:line="360" w:lineRule="auto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về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làm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đại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cung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ứng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dịch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thanh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khách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vi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mô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sửa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đổi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năng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nhiệm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nâng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cao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vai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trò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xã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hệ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thống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dân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điều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chỉnh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kỹ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thuật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một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số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đảm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bảo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rõ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ràng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</w:p>
    <w:p w14:paraId="66C6B355" w14:textId="77777777" w:rsidR="00D036B6" w:rsidRDefault="00065D23" w:rsidP="00D036B6">
      <w:pPr>
        <w:spacing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b/>
          <w:sz w:val="26"/>
          <w:szCs w:val="26"/>
        </w:rPr>
        <w:lastRenderedPageBreak/>
        <w:t>Về</w:t>
      </w:r>
      <w:proofErr w:type="spellEnd"/>
      <w:r w:rsidRPr="00AC662E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sz w:val="26"/>
          <w:szCs w:val="26"/>
        </w:rPr>
        <w:t>dự</w:t>
      </w:r>
      <w:proofErr w:type="spellEnd"/>
      <w:r w:rsidRPr="00AC662E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sz w:val="26"/>
          <w:szCs w:val="26"/>
        </w:rPr>
        <w:t>phòng</w:t>
      </w:r>
      <w:proofErr w:type="spellEnd"/>
      <w:r w:rsidRPr="00AC662E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sz w:val="26"/>
          <w:szCs w:val="26"/>
        </w:rPr>
        <w:t>rủi</w:t>
      </w:r>
      <w:proofErr w:type="spellEnd"/>
      <w:r w:rsidRPr="00AC662E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b/>
          <w:sz w:val="26"/>
          <w:szCs w:val="26"/>
        </w:rPr>
        <w:t>ro</w:t>
      </w:r>
      <w:proofErr w:type="spellEnd"/>
    </w:p>
    <w:p w14:paraId="6D92D56E" w14:textId="6FDAB5FE" w:rsidR="00065D23" w:rsidRPr="00AC662E" w:rsidRDefault="00BD2237" w:rsidP="00D036B6">
      <w:pPr>
        <w:spacing w:line="36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r w:rsidRPr="00AC662E">
        <w:rPr>
          <w:rFonts w:ascii="Times New Roman" w:eastAsia="Cambria" w:hAnsi="Times New Roman" w:cs="Times New Roman"/>
          <w:sz w:val="26"/>
          <w:szCs w:val="26"/>
        </w:rPr>
        <w:t>TCTD</w:t>
      </w:r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phải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này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hạch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toán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chi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hai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án1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loại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mức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lập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do </w:t>
      </w:r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NHNN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phối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Bộ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177590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177590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177590" w:rsidRPr="00AC662E">
        <w:rPr>
          <w:rFonts w:ascii="Times New Roman" w:eastAsia="Cambria" w:hAnsi="Times New Roman" w:cs="Times New Roman"/>
          <w:iCs/>
          <w:sz w:val="26"/>
          <w:szCs w:val="26"/>
        </w:rPr>
        <w:t>án</w:t>
      </w:r>
      <w:proofErr w:type="spellEnd"/>
      <w:r w:rsidR="00177590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2</w:t>
      </w:r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loại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mức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lập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do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r w:rsidR="00177590" w:rsidRPr="00AC662E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đặc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biệt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thực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hiện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nhiệm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kinh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tế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xã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hội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ngoại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Thủ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tướng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phủ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quyết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loại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mức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lập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đối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với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từng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cụ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Thủ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tướng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Chính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phủ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hồ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sơ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trình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đề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nghị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quyết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loại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mức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phương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pháp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trích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lập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việc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để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hoạt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động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tại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này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.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Trong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trường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hợp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thu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hồi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vốn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đã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xử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lý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bằng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dự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phòng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rủi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ro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số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tiền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thu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hồi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này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được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coi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là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doanh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thu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của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tổ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chức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chi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nhánh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ngân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hàng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nước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="00065D23" w:rsidRPr="00AC662E">
        <w:rPr>
          <w:rFonts w:ascii="Times New Roman" w:eastAsia="Cambria" w:hAnsi="Times New Roman" w:cs="Times New Roman"/>
          <w:iCs/>
          <w:sz w:val="26"/>
          <w:szCs w:val="26"/>
        </w:rPr>
        <w:t>.</w:t>
      </w:r>
    </w:p>
    <w:p w14:paraId="58B700A7" w14:textId="0B0DC8AB" w:rsidR="00336C8C" w:rsidRPr="00AC662E" w:rsidRDefault="00390649" w:rsidP="00C5006F">
      <w:pPr>
        <w:spacing w:line="360" w:lineRule="auto"/>
        <w:ind w:firstLine="460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Ngoài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ra,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bổ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sung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quy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định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áp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riêng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cho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các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khoản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vay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tiêu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dùng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phục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vụ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cầu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đời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sống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có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mức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giá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trị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nhỏ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cấp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dụng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qua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thẻ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theo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hướng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đơn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giản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,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thuận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tiện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 xml:space="preserve"> </w:t>
      </w:r>
      <w:proofErr w:type="spellStart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hơn</w:t>
      </w:r>
      <w:proofErr w:type="spellEnd"/>
      <w:r w:rsidRPr="00AC662E">
        <w:rPr>
          <w:rFonts w:ascii="Times New Roman" w:eastAsia="Cambria" w:hAnsi="Times New Roman" w:cs="Times New Roman"/>
          <w:iCs/>
          <w:sz w:val="26"/>
          <w:szCs w:val="26"/>
        </w:rPr>
        <w:t>...</w:t>
      </w:r>
    </w:p>
    <w:p w14:paraId="7FA0FDCD" w14:textId="77777777" w:rsidR="008F3AF6" w:rsidRPr="00AC662E" w:rsidRDefault="003952A8">
      <w:pPr>
        <w:rPr>
          <w:rFonts w:ascii="Times New Roman" w:hAnsi="Times New Roman" w:cs="Times New Roman"/>
          <w:sz w:val="26"/>
          <w:szCs w:val="26"/>
        </w:rPr>
      </w:pPr>
    </w:p>
    <w:p w14:paraId="2D432D91" w14:textId="77777777" w:rsidR="00A55B00" w:rsidRPr="00AC662E" w:rsidRDefault="00A55B00" w:rsidP="00A55B0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662E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AC662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AC662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Pr="00AC662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C662E">
        <w:rPr>
          <w:rFonts w:ascii="Times New Roman" w:hAnsi="Times New Roman" w:cs="Times New Roman"/>
          <w:b/>
          <w:sz w:val="26"/>
          <w:szCs w:val="26"/>
        </w:rPr>
        <w:t>khảo</w:t>
      </w:r>
      <w:proofErr w:type="spellEnd"/>
    </w:p>
    <w:p w14:paraId="4DA5F566" w14:textId="68877B5D" w:rsidR="00A55B00" w:rsidRPr="00AC662E" w:rsidRDefault="00BD2237" w:rsidP="00A55B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662E">
        <w:rPr>
          <w:rFonts w:ascii="Times New Roman" w:hAnsi="Times New Roman" w:cs="Times New Roman"/>
          <w:sz w:val="26"/>
          <w:szCs w:val="26"/>
        </w:rPr>
        <w:t>1</w:t>
      </w:r>
      <w:r w:rsidR="00A55B00" w:rsidRPr="00AC662E">
        <w:rPr>
          <w:rFonts w:ascii="Times New Roman" w:hAnsi="Times New Roman" w:cs="Times New Roman"/>
          <w:sz w:val="26"/>
          <w:szCs w:val="26"/>
        </w:rPr>
        <w:t xml:space="preserve">.  </w:t>
      </w:r>
      <w:hyperlink r:id="rId4" w:history="1">
        <w:r w:rsidR="00A55B00" w:rsidRPr="00AC662E">
          <w:rPr>
            <w:rStyle w:val="Hyperlink"/>
            <w:rFonts w:ascii="Times New Roman" w:hAnsi="Times New Roman" w:cs="Times New Roman"/>
            <w:sz w:val="26"/>
            <w:szCs w:val="26"/>
          </w:rPr>
          <w:t>https://chinhphu.vn</w:t>
        </w:r>
      </w:hyperlink>
    </w:p>
    <w:p w14:paraId="72C4356D" w14:textId="4CB345FA" w:rsidR="00A55B00" w:rsidRPr="00AC662E" w:rsidRDefault="00BD2237" w:rsidP="00A55B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662E">
        <w:rPr>
          <w:rFonts w:ascii="Times New Roman" w:hAnsi="Times New Roman" w:cs="Times New Roman"/>
          <w:sz w:val="26"/>
          <w:szCs w:val="26"/>
        </w:rPr>
        <w:t>2</w:t>
      </w:r>
      <w:r w:rsidR="00A55B00" w:rsidRPr="00AC662E">
        <w:rPr>
          <w:rFonts w:ascii="Times New Roman" w:hAnsi="Times New Roman" w:cs="Times New Roman"/>
          <w:sz w:val="26"/>
          <w:szCs w:val="26"/>
        </w:rPr>
        <w:t xml:space="preserve">. </w:t>
      </w:r>
      <w:hyperlink r:id="rId5" w:history="1">
        <w:r w:rsidR="000546BC" w:rsidRPr="00AC662E">
          <w:rPr>
            <w:rStyle w:val="Hyperlink"/>
            <w:rFonts w:ascii="Times New Roman" w:hAnsi="Times New Roman" w:cs="Times New Roman"/>
            <w:sz w:val="26"/>
            <w:szCs w:val="26"/>
          </w:rPr>
          <w:t>https://mof.gov.vn</w:t>
        </w:r>
      </w:hyperlink>
    </w:p>
    <w:p w14:paraId="19E13DE6" w14:textId="77577B58" w:rsidR="000546BC" w:rsidRPr="00AC662E" w:rsidRDefault="00BD2237" w:rsidP="00A55B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662E">
        <w:rPr>
          <w:rFonts w:ascii="Times New Roman" w:hAnsi="Times New Roman" w:cs="Times New Roman"/>
          <w:sz w:val="26"/>
          <w:szCs w:val="26"/>
        </w:rPr>
        <w:t>3</w:t>
      </w:r>
      <w:r w:rsidR="000546BC" w:rsidRPr="00AC662E">
        <w:rPr>
          <w:rFonts w:ascii="Times New Roman" w:hAnsi="Times New Roman" w:cs="Times New Roman"/>
          <w:sz w:val="26"/>
          <w:szCs w:val="26"/>
        </w:rPr>
        <w:t>. https://thoibaotaichinhvietnam.vn/lay-y-kien-du-thao-luat-cac-to-chuc-tin-dung-sua-doi-122672.html</w:t>
      </w:r>
    </w:p>
    <w:p w14:paraId="7021561F" w14:textId="77777777" w:rsidR="000B0355" w:rsidRPr="00AC662E" w:rsidRDefault="000B0355">
      <w:pPr>
        <w:rPr>
          <w:rFonts w:ascii="Times New Roman" w:hAnsi="Times New Roman" w:cs="Times New Roman"/>
          <w:sz w:val="26"/>
          <w:szCs w:val="26"/>
        </w:rPr>
      </w:pPr>
    </w:p>
    <w:p w14:paraId="49F1C6D8" w14:textId="77777777" w:rsidR="000B0355" w:rsidRPr="00AC662E" w:rsidRDefault="000B0355">
      <w:pPr>
        <w:rPr>
          <w:rFonts w:ascii="Times New Roman" w:hAnsi="Times New Roman" w:cs="Times New Roman"/>
          <w:sz w:val="26"/>
          <w:szCs w:val="26"/>
        </w:rPr>
      </w:pPr>
    </w:p>
    <w:p w14:paraId="2AFD612B" w14:textId="77777777" w:rsidR="00AE6BCB" w:rsidRPr="00AC662E" w:rsidRDefault="00AE6BCB">
      <w:pPr>
        <w:rPr>
          <w:rFonts w:ascii="Times New Roman" w:hAnsi="Times New Roman" w:cs="Times New Roman"/>
          <w:sz w:val="26"/>
          <w:szCs w:val="26"/>
        </w:rPr>
      </w:pPr>
    </w:p>
    <w:p w14:paraId="55856731" w14:textId="77777777" w:rsidR="00AE6BCB" w:rsidRPr="00AC662E" w:rsidRDefault="00AE6BCB" w:rsidP="00CB3295">
      <w:pPr>
        <w:spacing w:line="360" w:lineRule="auto"/>
        <w:ind w:firstLine="460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</w:p>
    <w:p w14:paraId="22820600" w14:textId="77777777" w:rsidR="000546BC" w:rsidRPr="00AC662E" w:rsidRDefault="000546BC" w:rsidP="00CB3295">
      <w:pPr>
        <w:spacing w:line="360" w:lineRule="auto"/>
        <w:ind w:firstLine="460"/>
        <w:jc w:val="both"/>
        <w:rPr>
          <w:rFonts w:ascii="Times New Roman" w:eastAsia="Cambria" w:hAnsi="Times New Roman" w:cs="Times New Roman"/>
          <w:iCs/>
          <w:sz w:val="26"/>
          <w:szCs w:val="26"/>
        </w:rPr>
      </w:pPr>
    </w:p>
    <w:p w14:paraId="6D562811" w14:textId="77777777" w:rsidR="00AE6BCB" w:rsidRPr="00AC662E" w:rsidRDefault="00AE6BCB">
      <w:pPr>
        <w:rPr>
          <w:rFonts w:ascii="Times New Roman" w:hAnsi="Times New Roman" w:cs="Times New Roman"/>
          <w:sz w:val="26"/>
          <w:szCs w:val="26"/>
        </w:rPr>
      </w:pPr>
    </w:p>
    <w:sectPr w:rsidR="00AE6BCB" w:rsidRPr="00AC662E" w:rsidSect="00A9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5"/>
    <w:rsid w:val="000546BC"/>
    <w:rsid w:val="00057018"/>
    <w:rsid w:val="00065D23"/>
    <w:rsid w:val="00076AEA"/>
    <w:rsid w:val="000B0355"/>
    <w:rsid w:val="000E4DB2"/>
    <w:rsid w:val="00177590"/>
    <w:rsid w:val="0021708C"/>
    <w:rsid w:val="00336C8C"/>
    <w:rsid w:val="003774F1"/>
    <w:rsid w:val="00390649"/>
    <w:rsid w:val="003952A8"/>
    <w:rsid w:val="003F7369"/>
    <w:rsid w:val="00413436"/>
    <w:rsid w:val="005B0D9B"/>
    <w:rsid w:val="005D0BEE"/>
    <w:rsid w:val="007B1343"/>
    <w:rsid w:val="007D1DBA"/>
    <w:rsid w:val="00832B2D"/>
    <w:rsid w:val="00945BAE"/>
    <w:rsid w:val="009578C1"/>
    <w:rsid w:val="0096494A"/>
    <w:rsid w:val="00A55B00"/>
    <w:rsid w:val="00A71226"/>
    <w:rsid w:val="00A8446D"/>
    <w:rsid w:val="00A90EBD"/>
    <w:rsid w:val="00A94BCA"/>
    <w:rsid w:val="00AA47D3"/>
    <w:rsid w:val="00AC662E"/>
    <w:rsid w:val="00AE6BCB"/>
    <w:rsid w:val="00B837C4"/>
    <w:rsid w:val="00BD2237"/>
    <w:rsid w:val="00BD3E4C"/>
    <w:rsid w:val="00C5006F"/>
    <w:rsid w:val="00C64653"/>
    <w:rsid w:val="00CB3295"/>
    <w:rsid w:val="00D036B6"/>
    <w:rsid w:val="00E00BEF"/>
    <w:rsid w:val="00E6690F"/>
    <w:rsid w:val="00EA5F15"/>
    <w:rsid w:val="00F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4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5F1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5F1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F1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5F15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6C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etailauthor">
    <w:name w:val="detail__author"/>
    <w:basedOn w:val="DefaultParagraphFont"/>
    <w:rsid w:val="00413436"/>
  </w:style>
  <w:style w:type="character" w:customStyle="1" w:styleId="apple-converted-space">
    <w:name w:val="apple-converted-space"/>
    <w:basedOn w:val="DefaultParagraphFont"/>
    <w:rsid w:val="00413436"/>
  </w:style>
  <w:style w:type="character" w:styleId="Hyperlink">
    <w:name w:val="Hyperlink"/>
    <w:basedOn w:val="DefaultParagraphFont"/>
    <w:uiPriority w:val="99"/>
    <w:unhideWhenUsed/>
    <w:rsid w:val="00A55B00"/>
    <w:rPr>
      <w:color w:val="0000FF"/>
      <w:u w:val="single"/>
    </w:rPr>
  </w:style>
  <w:style w:type="paragraph" w:customStyle="1" w:styleId="sapo">
    <w:name w:val="sapo"/>
    <w:basedOn w:val="Normal"/>
    <w:rsid w:val="000546B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546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2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f.gov.vn" TargetMode="External"/><Relationship Id="rId4" Type="http://schemas.openxmlformats.org/officeDocument/2006/relationships/hyperlink" Target="https://chinhph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2023-06-14T08:07:00Z</dcterms:created>
  <dcterms:modified xsi:type="dcterms:W3CDTF">2023-06-14T08:07:00Z</dcterms:modified>
</cp:coreProperties>
</file>