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0C" w:rsidRPr="0017716D" w:rsidRDefault="008B4B0C" w:rsidP="0017716D">
      <w:pPr>
        <w:spacing w:line="312" w:lineRule="auto"/>
        <w:jc w:val="center"/>
        <w:rPr>
          <w:b/>
          <w:bCs/>
          <w:sz w:val="28"/>
          <w:szCs w:val="28"/>
          <w:lang w:val="en-US"/>
        </w:rPr>
      </w:pPr>
      <w:r w:rsidRPr="008B4B0C">
        <w:rPr>
          <w:b/>
          <w:bCs/>
          <w:sz w:val="28"/>
          <w:szCs w:val="28"/>
          <w:lang w:val="en-US"/>
        </w:rPr>
        <w:t xml:space="preserve">TÌM HIỂU CÁC </w:t>
      </w:r>
      <w:r w:rsidRPr="008B4B0C">
        <w:rPr>
          <w:b/>
          <w:bCs/>
          <w:sz w:val="28"/>
          <w:szCs w:val="28"/>
        </w:rPr>
        <w:t>CH</w:t>
      </w:r>
      <w:r w:rsidRPr="008B4B0C">
        <w:rPr>
          <w:rFonts w:cs="Calibri"/>
          <w:b/>
          <w:bCs/>
          <w:sz w:val="28"/>
          <w:szCs w:val="28"/>
        </w:rPr>
        <w:t>Ỉ</w:t>
      </w:r>
      <w:r w:rsidRPr="008B4B0C">
        <w:rPr>
          <w:b/>
          <w:bCs/>
          <w:sz w:val="28"/>
          <w:szCs w:val="28"/>
        </w:rPr>
        <w:t xml:space="preserve"> TI</w:t>
      </w:r>
      <w:r w:rsidRPr="008B4B0C">
        <w:rPr>
          <w:rFonts w:cs=".VnArial"/>
          <w:b/>
          <w:bCs/>
          <w:sz w:val="28"/>
          <w:szCs w:val="28"/>
        </w:rPr>
        <w:t>Ê</w:t>
      </w:r>
      <w:r w:rsidRPr="008B4B0C">
        <w:rPr>
          <w:b/>
          <w:bCs/>
          <w:sz w:val="28"/>
          <w:szCs w:val="28"/>
        </w:rPr>
        <w:t>U TR</w:t>
      </w:r>
      <w:r w:rsidRPr="008B4B0C">
        <w:rPr>
          <w:rFonts w:cs=".VnArial"/>
          <w:b/>
          <w:bCs/>
          <w:sz w:val="28"/>
          <w:szCs w:val="28"/>
        </w:rPr>
        <w:t>Ê</w:t>
      </w:r>
      <w:r w:rsidRPr="008B4B0C">
        <w:rPr>
          <w:b/>
          <w:bCs/>
          <w:sz w:val="28"/>
          <w:szCs w:val="28"/>
        </w:rPr>
        <w:t>N BÁO CÁO TÌNH HÌNH TÀI CHÍNH</w:t>
      </w:r>
      <w:r w:rsidR="0017716D">
        <w:rPr>
          <w:b/>
          <w:bCs/>
          <w:sz w:val="28"/>
          <w:szCs w:val="28"/>
          <w:lang w:val="en-US"/>
        </w:rPr>
        <w:t xml:space="preserve"> TRONG DOANH NGHIỆP</w:t>
      </w:r>
    </w:p>
    <w:p w:rsidR="001A2A9E" w:rsidRPr="00E72B2E" w:rsidRDefault="001A2A9E" w:rsidP="00E72B2E">
      <w:pPr>
        <w:spacing w:line="312" w:lineRule="auto"/>
        <w:jc w:val="both"/>
        <w:rPr>
          <w:b/>
          <w:bCs/>
          <w:sz w:val="26"/>
          <w:szCs w:val="26"/>
          <w:lang w:val="en-US"/>
        </w:rPr>
      </w:pPr>
      <w:r w:rsidRPr="008B4B0C">
        <w:rPr>
          <w:b/>
          <w:bCs/>
          <w:sz w:val="28"/>
          <w:szCs w:val="28"/>
          <w:lang w:val="en-US"/>
        </w:rPr>
        <w:t xml:space="preserve">                                                                                      </w:t>
      </w:r>
      <w:r w:rsidRPr="00E72B2E">
        <w:rPr>
          <w:b/>
          <w:bCs/>
          <w:sz w:val="26"/>
          <w:szCs w:val="26"/>
          <w:lang w:val="en-US"/>
        </w:rPr>
        <w:t>Nguyễn Thị Hồng Sương</w:t>
      </w:r>
    </w:p>
    <w:p w:rsidR="001F6762" w:rsidRDefault="00E72B2E" w:rsidP="00E72B2E">
      <w:pPr>
        <w:spacing w:line="312" w:lineRule="auto"/>
        <w:ind w:firstLine="720"/>
        <w:jc w:val="both"/>
        <w:rPr>
          <w:i/>
          <w:color w:val="252525"/>
          <w:sz w:val="26"/>
          <w:szCs w:val="26"/>
          <w:lang w:val="en-US"/>
        </w:rPr>
      </w:pPr>
      <w:r w:rsidRPr="00E72B2E">
        <w:rPr>
          <w:i/>
          <w:color w:val="252525"/>
          <w:sz w:val="26"/>
          <w:szCs w:val="26"/>
          <w:bdr w:val="none" w:sz="0" w:space="0" w:color="auto" w:frame="1"/>
        </w:rPr>
        <w:t xml:space="preserve">Dự báo </w:t>
      </w:r>
      <w:r w:rsidRPr="00E72B2E">
        <w:rPr>
          <w:i/>
          <w:color w:val="252525"/>
          <w:sz w:val="26"/>
          <w:szCs w:val="26"/>
          <w:bdr w:val="none" w:sz="0" w:space="0" w:color="auto" w:frame="1"/>
          <w:lang w:val="en-US"/>
        </w:rPr>
        <w:t xml:space="preserve">các chỉ tiêu </w:t>
      </w:r>
      <w:r w:rsidRPr="00E72B2E">
        <w:rPr>
          <w:i/>
          <w:color w:val="252525"/>
          <w:sz w:val="26"/>
          <w:szCs w:val="26"/>
          <w:bdr w:val="none" w:sz="0" w:space="0" w:color="auto" w:frame="1"/>
        </w:rPr>
        <w:t>tài chính</w:t>
      </w:r>
      <w:r w:rsidRPr="00E72B2E">
        <w:rPr>
          <w:i/>
          <w:color w:val="252525"/>
          <w:sz w:val="26"/>
          <w:szCs w:val="26"/>
        </w:rPr>
        <w:t> là việc dự báo về các chỉ tiêu cơ bản trên báo cáo tài chính của các kì kinh doanh sắp tới</w:t>
      </w:r>
      <w:r w:rsidRPr="00E72B2E">
        <w:rPr>
          <w:i/>
          <w:color w:val="252525"/>
          <w:sz w:val="26"/>
          <w:szCs w:val="26"/>
          <w:lang w:val="en-US"/>
        </w:rPr>
        <w:t>. Dự báo các chỉ tiêu tài chính là căn cứ quan trọng để</w:t>
      </w:r>
      <w:r w:rsidRPr="00E72B2E">
        <w:rPr>
          <w:i/>
          <w:color w:val="252525"/>
          <w:sz w:val="26"/>
          <w:szCs w:val="26"/>
        </w:rPr>
        <w:t xml:space="preserve"> xác định nhu cầu </w:t>
      </w:r>
      <w:r w:rsidRPr="00E72B2E">
        <w:rPr>
          <w:i/>
          <w:color w:val="252525"/>
          <w:sz w:val="26"/>
          <w:szCs w:val="26"/>
          <w:lang w:val="en-US"/>
        </w:rPr>
        <w:t xml:space="preserve">về </w:t>
      </w:r>
      <w:r w:rsidRPr="00E72B2E">
        <w:rPr>
          <w:i/>
          <w:color w:val="252525"/>
          <w:sz w:val="26"/>
          <w:szCs w:val="26"/>
        </w:rPr>
        <w:t>vốn cho doanh nghiệp. Một trong những mục tiêu cơ bản của phân tích báo cáo tài chính là dựa vào số liệu quá khứ</w:t>
      </w:r>
      <w:r w:rsidRPr="00E72B2E">
        <w:rPr>
          <w:i/>
          <w:color w:val="252525"/>
          <w:sz w:val="26"/>
          <w:szCs w:val="26"/>
          <w:lang w:val="en-US"/>
        </w:rPr>
        <w:t>,</w:t>
      </w:r>
      <w:r w:rsidR="00B83622">
        <w:rPr>
          <w:i/>
          <w:color w:val="252525"/>
          <w:sz w:val="26"/>
          <w:szCs w:val="26"/>
          <w:lang w:val="en-US"/>
        </w:rPr>
        <w:t xml:space="preserve"> </w:t>
      </w:r>
      <w:r w:rsidRPr="00E72B2E">
        <w:rPr>
          <w:i/>
          <w:color w:val="252525"/>
          <w:sz w:val="26"/>
          <w:szCs w:val="26"/>
          <w:lang w:val="en-US"/>
        </w:rPr>
        <w:t xml:space="preserve"> nhìn nhận hiện tại và</w:t>
      </w:r>
      <w:r w:rsidRPr="00E72B2E">
        <w:rPr>
          <w:i/>
          <w:color w:val="252525"/>
          <w:sz w:val="26"/>
          <w:szCs w:val="26"/>
        </w:rPr>
        <w:t xml:space="preserve"> dự báo </w:t>
      </w:r>
      <w:r w:rsidRPr="00E72B2E">
        <w:rPr>
          <w:i/>
          <w:color w:val="252525"/>
          <w:sz w:val="26"/>
          <w:szCs w:val="26"/>
          <w:lang w:val="en-US"/>
        </w:rPr>
        <w:t xml:space="preserve">các chỉ tiêu tài chính của </w:t>
      </w:r>
      <w:r w:rsidRPr="00E72B2E">
        <w:rPr>
          <w:i/>
          <w:color w:val="252525"/>
          <w:sz w:val="26"/>
          <w:szCs w:val="26"/>
        </w:rPr>
        <w:t>doanh nghiệp</w:t>
      </w:r>
      <w:r w:rsidRPr="00E72B2E">
        <w:rPr>
          <w:i/>
          <w:color w:val="252525"/>
          <w:sz w:val="26"/>
          <w:szCs w:val="26"/>
          <w:lang w:val="en-US"/>
        </w:rPr>
        <w:t xml:space="preserve"> trong tương lai</w:t>
      </w:r>
      <w:r w:rsidRPr="00E72B2E">
        <w:rPr>
          <w:i/>
          <w:color w:val="252525"/>
          <w:sz w:val="26"/>
          <w:szCs w:val="26"/>
        </w:rPr>
        <w:t>.</w:t>
      </w:r>
      <w:r w:rsidR="007C5C80">
        <w:rPr>
          <w:i/>
          <w:color w:val="252525"/>
          <w:sz w:val="26"/>
          <w:szCs w:val="26"/>
          <w:lang w:val="en-US"/>
        </w:rPr>
        <w:t xml:space="preserve"> </w:t>
      </w:r>
      <w:proofErr w:type="gramStart"/>
      <w:r w:rsidR="007C5C80">
        <w:rPr>
          <w:i/>
          <w:color w:val="252525"/>
          <w:sz w:val="26"/>
          <w:szCs w:val="26"/>
          <w:lang w:val="en-US"/>
        </w:rPr>
        <w:t>Bài viết tìm hiểu về dự toán các chỉ tiêu trên báo cáo tình hình tài chính.</w:t>
      </w:r>
      <w:proofErr w:type="gramEnd"/>
    </w:p>
    <w:p w:rsidR="00F42251" w:rsidRPr="008722F5" w:rsidRDefault="00F42251" w:rsidP="00F42251">
      <w:pPr>
        <w:widowControl/>
        <w:autoSpaceDE/>
        <w:autoSpaceDN/>
        <w:spacing w:line="360" w:lineRule="auto"/>
        <w:jc w:val="both"/>
        <w:rPr>
          <w:b/>
          <w:sz w:val="26"/>
          <w:szCs w:val="26"/>
          <w:lang w:val="en-US"/>
        </w:rPr>
      </w:pPr>
      <w:r w:rsidRPr="008722F5">
        <w:rPr>
          <w:b/>
          <w:sz w:val="26"/>
          <w:szCs w:val="26"/>
          <w:lang w:val="en-US"/>
        </w:rPr>
        <w:t xml:space="preserve">Các nguyên tắc </w:t>
      </w:r>
      <w:proofErr w:type="gramStart"/>
      <w:r w:rsidR="008722F5" w:rsidRPr="008722F5">
        <w:rPr>
          <w:b/>
          <w:sz w:val="26"/>
          <w:szCs w:val="26"/>
          <w:lang w:val="en-US"/>
        </w:rPr>
        <w:t>chung</w:t>
      </w:r>
      <w:proofErr w:type="gramEnd"/>
      <w:r w:rsidR="008722F5" w:rsidRPr="008722F5">
        <w:rPr>
          <w:b/>
          <w:sz w:val="26"/>
          <w:szCs w:val="26"/>
          <w:lang w:val="en-US"/>
        </w:rPr>
        <w:t xml:space="preserve"> </w:t>
      </w:r>
      <w:r w:rsidRPr="008722F5">
        <w:rPr>
          <w:b/>
          <w:sz w:val="26"/>
          <w:szCs w:val="26"/>
          <w:lang w:val="en-US"/>
        </w:rPr>
        <w:t>dự báo chỉ tiêu tài chính</w:t>
      </w:r>
    </w:p>
    <w:p w:rsidR="00F42251" w:rsidRPr="00BF0EDA" w:rsidRDefault="00F42251" w:rsidP="00F42251">
      <w:pPr>
        <w:spacing w:line="360" w:lineRule="auto"/>
        <w:jc w:val="both"/>
        <w:rPr>
          <w:sz w:val="26"/>
          <w:szCs w:val="26"/>
          <w:lang w:val="en-US"/>
        </w:rPr>
      </w:pPr>
      <w:r w:rsidRPr="00BF0EDA">
        <w:rPr>
          <w:sz w:val="26"/>
          <w:szCs w:val="26"/>
          <w:lang w:val="en-US"/>
        </w:rPr>
        <w:t xml:space="preserve"> </w:t>
      </w:r>
      <w:r>
        <w:rPr>
          <w:sz w:val="26"/>
          <w:szCs w:val="26"/>
          <w:lang w:val="en-US"/>
        </w:rPr>
        <w:tab/>
      </w:r>
      <w:r w:rsidRPr="00BF0EDA">
        <w:rPr>
          <w:sz w:val="26"/>
          <w:szCs w:val="26"/>
          <w:lang w:val="en-US"/>
        </w:rPr>
        <w:t xml:space="preserve">Để cung cấp những thông tin dự báo đáng tin cậy, việc dự báo phải dựa trên các quy trình dự báo với các phương pháp, kỹ thuật phù hợp và </w:t>
      </w:r>
      <w:proofErr w:type="gramStart"/>
      <w:r w:rsidRPr="00BF0EDA">
        <w:rPr>
          <w:sz w:val="26"/>
          <w:szCs w:val="26"/>
          <w:lang w:val="en-US"/>
        </w:rPr>
        <w:t>theo</w:t>
      </w:r>
      <w:proofErr w:type="gramEnd"/>
      <w:r w:rsidRPr="00BF0EDA">
        <w:rPr>
          <w:sz w:val="26"/>
          <w:szCs w:val="26"/>
          <w:lang w:val="en-US"/>
        </w:rPr>
        <w:t xml:space="preserve"> nguyên tắc nhất định. Các nguyên tắc bao gồm:</w:t>
      </w:r>
    </w:p>
    <w:p w:rsidR="00F42251" w:rsidRPr="00BF0EDA" w:rsidRDefault="00F42251" w:rsidP="00F42251">
      <w:pPr>
        <w:spacing w:line="360" w:lineRule="auto"/>
        <w:jc w:val="both"/>
        <w:rPr>
          <w:sz w:val="26"/>
          <w:szCs w:val="26"/>
          <w:lang w:val="en-US"/>
        </w:rPr>
      </w:pPr>
      <w:r w:rsidRPr="00BF0EDA">
        <w:rPr>
          <w:i/>
          <w:sz w:val="26"/>
          <w:szCs w:val="26"/>
          <w:lang w:val="en-US"/>
        </w:rPr>
        <w:t>-</w:t>
      </w:r>
      <w:r>
        <w:rPr>
          <w:i/>
          <w:sz w:val="26"/>
          <w:szCs w:val="26"/>
          <w:lang w:val="en-US"/>
        </w:rPr>
        <w:t xml:space="preserve"> </w:t>
      </w:r>
      <w:r w:rsidRPr="00BF0EDA">
        <w:rPr>
          <w:i/>
          <w:sz w:val="26"/>
          <w:szCs w:val="26"/>
          <w:lang w:val="en-US"/>
        </w:rPr>
        <w:t>Các chỉ tiêu tài chính phải được dự báo trung thực:</w:t>
      </w:r>
      <w:r w:rsidRPr="00BF0EDA">
        <w:rPr>
          <w:sz w:val="26"/>
          <w:szCs w:val="26"/>
          <w:lang w:val="en-US"/>
        </w:rPr>
        <w:t xml:space="preserve"> Các chỉ tiêu được dự báo phải được trình bày chính xác, nếu sai lệch thì thông tin dự báo sẽ không lạc quan và gây ra tình trạng sai sót khi đưa ra các quyết định liên quan.</w:t>
      </w:r>
    </w:p>
    <w:p w:rsidR="00F42251" w:rsidRPr="00BF0EDA" w:rsidRDefault="00F42251" w:rsidP="00F42251">
      <w:pPr>
        <w:spacing w:line="360" w:lineRule="auto"/>
        <w:jc w:val="both"/>
        <w:rPr>
          <w:sz w:val="26"/>
          <w:szCs w:val="26"/>
          <w:lang w:val="en-US"/>
        </w:rPr>
      </w:pPr>
      <w:r w:rsidRPr="00BF0EDA">
        <w:rPr>
          <w:sz w:val="26"/>
          <w:szCs w:val="26"/>
          <w:lang w:val="en-US"/>
        </w:rPr>
        <w:t xml:space="preserve">- </w:t>
      </w:r>
      <w:r w:rsidRPr="00F42251">
        <w:rPr>
          <w:i/>
          <w:sz w:val="26"/>
          <w:szCs w:val="26"/>
          <w:lang w:val="en-US"/>
        </w:rPr>
        <w:t>Dự báo các chỉ tiêu tài chính cần dựa trên số liệu kế toán tin cậy</w:t>
      </w:r>
      <w:r w:rsidRPr="00BF0EDA">
        <w:rPr>
          <w:sz w:val="26"/>
          <w:szCs w:val="26"/>
          <w:lang w:val="en-US"/>
        </w:rPr>
        <w:t xml:space="preserve">: các số liệu trên báo cáo kế toán là căn cứ để dự báo các chỉ tiêu tài chính. Do đó, số liệu phải được kiểm tra đảm bảo sự trung thực, tin cậy cần </w:t>
      </w:r>
      <w:proofErr w:type="gramStart"/>
      <w:r w:rsidRPr="00BF0EDA">
        <w:rPr>
          <w:sz w:val="26"/>
          <w:szCs w:val="26"/>
          <w:lang w:val="en-US"/>
        </w:rPr>
        <w:t>thiết.</w:t>
      </w:r>
      <w:proofErr w:type="gramEnd"/>
    </w:p>
    <w:p w:rsidR="00F42251" w:rsidRDefault="00F42251" w:rsidP="00F42251">
      <w:pPr>
        <w:spacing w:line="360" w:lineRule="auto"/>
        <w:jc w:val="both"/>
        <w:rPr>
          <w:sz w:val="26"/>
          <w:szCs w:val="26"/>
          <w:lang w:val="en-US"/>
        </w:rPr>
      </w:pPr>
      <w:r w:rsidRPr="00BF0EDA">
        <w:rPr>
          <w:i/>
          <w:sz w:val="26"/>
          <w:szCs w:val="26"/>
          <w:lang w:val="en-US"/>
        </w:rPr>
        <w:t>-Phải tuân thủ các nguyên tắc kế toán khi dự báo các chỉ tiêu tài chính</w:t>
      </w:r>
      <w:r w:rsidRPr="00BF0EDA">
        <w:rPr>
          <w:sz w:val="26"/>
          <w:szCs w:val="26"/>
          <w:lang w:val="en-US"/>
        </w:rPr>
        <w:t xml:space="preserve">: Khi dự báo các chỉ tiêu tài chính, người ta dự báo thường dựa vào các số liệu thực tế do kế toán cung cấp vì vậy cần chú ý đến các phương pháp và nguyên tắc được kế toán áp dụng. </w:t>
      </w:r>
    </w:p>
    <w:p w:rsidR="00F42251" w:rsidRPr="00BF0EDA" w:rsidRDefault="00F42251" w:rsidP="00F42251">
      <w:pPr>
        <w:spacing w:line="360" w:lineRule="auto"/>
        <w:jc w:val="both"/>
        <w:rPr>
          <w:sz w:val="26"/>
          <w:szCs w:val="26"/>
          <w:lang w:val="en-US"/>
        </w:rPr>
      </w:pPr>
      <w:r w:rsidRPr="00BF0EDA">
        <w:rPr>
          <w:i/>
          <w:sz w:val="26"/>
          <w:szCs w:val="26"/>
          <w:lang w:val="en-US"/>
        </w:rPr>
        <w:t>-Phải sử dụng thông tin phù hợp để dự báo các chỉ tiêu tài chính:</w:t>
      </w:r>
      <w:r w:rsidRPr="00BF0EDA">
        <w:rPr>
          <w:sz w:val="26"/>
          <w:szCs w:val="26"/>
          <w:lang w:val="en-US"/>
        </w:rPr>
        <w:t xml:space="preserve"> thông tin sử dụng để dự báo các chỉ tiêu tài chính được lấy từ nhiều nguồn khác nhau ở trong và ngoài doanh nghiệp. </w:t>
      </w:r>
      <w:proofErr w:type="gramStart"/>
      <w:r w:rsidRPr="00BF0EDA">
        <w:rPr>
          <w:sz w:val="26"/>
          <w:szCs w:val="26"/>
          <w:lang w:val="en-US"/>
        </w:rPr>
        <w:t>Khi dự báo các chỉ tiêu tài chính cần lựa chọn các thông tin hợp lý để xây dựng các giả thiết phù hợp với điều kiện của doanh nghiệp.</w:t>
      </w:r>
      <w:proofErr w:type="gramEnd"/>
      <w:r w:rsidRPr="00BF0EDA">
        <w:rPr>
          <w:sz w:val="26"/>
          <w:szCs w:val="26"/>
          <w:lang w:val="en-US"/>
        </w:rPr>
        <w:t xml:space="preserve"> </w:t>
      </w:r>
      <w:proofErr w:type="gramStart"/>
      <w:r w:rsidRPr="00BF0EDA">
        <w:rPr>
          <w:sz w:val="26"/>
          <w:szCs w:val="26"/>
          <w:lang w:val="en-US"/>
        </w:rPr>
        <w:t>Các thông tin sử dụng để dự báo các chỉ tiêu tài chính cần có mực độ chi tiết hợp lý, đặc biệt là các thông tin về các nhân tố cơ bản được sử dụng để xây dựng giả thiết.</w:t>
      </w:r>
      <w:proofErr w:type="gramEnd"/>
      <w:r w:rsidRPr="00BF0EDA">
        <w:rPr>
          <w:sz w:val="26"/>
          <w:szCs w:val="26"/>
          <w:lang w:val="en-US"/>
        </w:rPr>
        <w:t xml:space="preserve"> </w:t>
      </w:r>
      <w:proofErr w:type="gramStart"/>
      <w:r w:rsidRPr="00BF0EDA">
        <w:rPr>
          <w:sz w:val="26"/>
          <w:szCs w:val="26"/>
          <w:lang w:val="en-US"/>
        </w:rPr>
        <w:t>Thông thường, các thông tin càng chi tiết thì độ tin cậy càng cao.</w:t>
      </w:r>
      <w:proofErr w:type="gramEnd"/>
    </w:p>
    <w:p w:rsidR="007C5C80" w:rsidRPr="007C5C80" w:rsidRDefault="007C5C80" w:rsidP="00E72B2E">
      <w:pPr>
        <w:spacing w:line="312" w:lineRule="auto"/>
        <w:ind w:firstLine="720"/>
        <w:jc w:val="both"/>
        <w:rPr>
          <w:b/>
          <w:bCs/>
          <w:i/>
          <w:sz w:val="26"/>
          <w:szCs w:val="26"/>
          <w:lang w:val="en-US"/>
        </w:rPr>
      </w:pPr>
    </w:p>
    <w:p w:rsidR="00E72B2E" w:rsidRPr="00E72B2E" w:rsidRDefault="00E72B2E" w:rsidP="00E72B2E">
      <w:pPr>
        <w:spacing w:line="312" w:lineRule="auto"/>
        <w:jc w:val="both"/>
        <w:rPr>
          <w:b/>
          <w:bCs/>
          <w:sz w:val="26"/>
          <w:szCs w:val="26"/>
        </w:rPr>
      </w:pPr>
      <w:r w:rsidRPr="00E72B2E">
        <w:rPr>
          <w:b/>
          <w:bCs/>
          <w:sz w:val="26"/>
          <w:szCs w:val="26"/>
        </w:rPr>
        <w:lastRenderedPageBreak/>
        <w:t>Mối liên hệ giữa các chỉ tiêu trên BCTHTC với doanh thu</w:t>
      </w:r>
    </w:p>
    <w:p w:rsidR="00E72B2E" w:rsidRPr="00E72B2E" w:rsidRDefault="00E72B2E" w:rsidP="00E72B2E">
      <w:pPr>
        <w:spacing w:line="312" w:lineRule="auto"/>
        <w:ind w:firstLine="720"/>
        <w:jc w:val="both"/>
        <w:rPr>
          <w:sz w:val="26"/>
          <w:szCs w:val="26"/>
        </w:rPr>
      </w:pPr>
      <w:r w:rsidRPr="00E72B2E">
        <w:rPr>
          <w:sz w:val="26"/>
          <w:szCs w:val="26"/>
        </w:rPr>
        <w:t xml:space="preserve">Khi lập BCĐKT phải xác định từng chỉ tiêu dự báo và xem xét trong mối quan hệ với doanh thu bán hàng dự báo. Các chỉ tiêu này chia làm 2 nhóm là nhóm có quan hệ trực tiếp với doanh thu và nhóm có quan hệ gián tiếp với doanh thu. </w:t>
      </w:r>
    </w:p>
    <w:p w:rsidR="00E72B2E" w:rsidRPr="00E72B2E" w:rsidRDefault="00E72B2E" w:rsidP="00E72B2E">
      <w:pPr>
        <w:spacing w:line="312" w:lineRule="auto"/>
        <w:jc w:val="both"/>
        <w:rPr>
          <w:sz w:val="26"/>
          <w:szCs w:val="26"/>
        </w:rPr>
      </w:pPr>
      <w:r w:rsidRPr="00E72B2E">
        <w:rPr>
          <w:i/>
          <w:iCs/>
          <w:sz w:val="26"/>
          <w:szCs w:val="26"/>
        </w:rPr>
        <w:t>* Nhóm có quan hệ trực tiếp với doanh thu:</w:t>
      </w:r>
      <w:r w:rsidRPr="00E72B2E">
        <w:rPr>
          <w:sz w:val="26"/>
          <w:szCs w:val="26"/>
        </w:rPr>
        <w:t xml:space="preserve"> gồm các chỉ tiêu về thành phẩm, hàng hóa tồn kho, </w:t>
      </w:r>
      <w:bookmarkStart w:id="0" w:name="_Hlk57811651"/>
      <w:r w:rsidRPr="00E72B2E">
        <w:rPr>
          <w:sz w:val="26"/>
          <w:szCs w:val="26"/>
        </w:rPr>
        <w:t>khoản phải thu khách hàng</w:t>
      </w:r>
      <w:bookmarkEnd w:id="0"/>
      <w:r w:rsidRPr="00E72B2E">
        <w:rPr>
          <w:sz w:val="26"/>
          <w:szCs w:val="26"/>
        </w:rPr>
        <w:t xml:space="preserve">, số dư của khoản mục tiền tệ và lợi nhuận chưa phân phối. </w:t>
      </w:r>
    </w:p>
    <w:p w:rsidR="00E72B2E" w:rsidRPr="00E72B2E" w:rsidRDefault="00E72B2E" w:rsidP="00E72B2E">
      <w:pPr>
        <w:spacing w:line="312" w:lineRule="auto"/>
        <w:jc w:val="both"/>
        <w:rPr>
          <w:sz w:val="26"/>
          <w:szCs w:val="26"/>
        </w:rPr>
      </w:pPr>
      <w:r w:rsidRPr="00E72B2E">
        <w:rPr>
          <w:sz w:val="26"/>
          <w:szCs w:val="26"/>
          <w:lang w:val="vi-VN"/>
        </w:rPr>
        <w:t>Chẳng hạn</w:t>
      </w:r>
      <w:r w:rsidRPr="00E72B2E">
        <w:rPr>
          <w:sz w:val="26"/>
          <w:szCs w:val="26"/>
        </w:rPr>
        <w:t>: Doanh thu có mối quan hệ chặt chẽ với chỉ tiêu thành phẩm, hàng tồn kho. Chỉ tiêu này phụ thuộc vào lượng hàng hóa bán ra mua vào và hàng hóa tồn đầu kỳ của doanh nghiệp. Hoặc chỉ tiêu phải thu khách hàng phụ thuộc vào doanh thu đạt được trong kỳ và chính sách tín dụng của doanh nghiệp với khách hàng..</w:t>
      </w:r>
    </w:p>
    <w:p w:rsidR="00E72B2E" w:rsidRPr="00E72B2E" w:rsidRDefault="00E72B2E" w:rsidP="00E72B2E">
      <w:pPr>
        <w:spacing w:line="312" w:lineRule="auto"/>
        <w:jc w:val="both"/>
        <w:rPr>
          <w:sz w:val="26"/>
          <w:szCs w:val="26"/>
        </w:rPr>
      </w:pPr>
      <w:r w:rsidRPr="00E72B2E">
        <w:rPr>
          <w:i/>
          <w:iCs/>
          <w:sz w:val="26"/>
          <w:szCs w:val="26"/>
        </w:rPr>
        <w:t>* Nhóm có quan hệ gián tiếp với doanh thu:</w:t>
      </w:r>
      <w:r w:rsidRPr="00E72B2E">
        <w:rPr>
          <w:sz w:val="26"/>
          <w:szCs w:val="26"/>
        </w:rPr>
        <w:t xml:space="preserve"> gồm như trị giá vật liệu, công cụ dụng cụ, khoản phải trả nhà cung cấp, khoản vay, nguyên giá TSCĐ.</w:t>
      </w:r>
    </w:p>
    <w:p w:rsidR="00E72B2E" w:rsidRPr="0009633C" w:rsidRDefault="00E72B2E" w:rsidP="00E72B2E">
      <w:pPr>
        <w:spacing w:line="312" w:lineRule="auto"/>
        <w:jc w:val="both"/>
        <w:rPr>
          <w:b/>
          <w:bCs/>
          <w:sz w:val="26"/>
          <w:szCs w:val="26"/>
          <w:lang w:val="en-US"/>
        </w:rPr>
      </w:pPr>
      <w:r w:rsidRPr="00E72B2E">
        <w:rPr>
          <w:b/>
          <w:bCs/>
          <w:sz w:val="26"/>
          <w:szCs w:val="26"/>
        </w:rPr>
        <w:t>Phương pháp dự báo các chỉ tiêu trê</w:t>
      </w:r>
      <w:r w:rsidR="0009633C">
        <w:rPr>
          <w:b/>
          <w:bCs/>
          <w:sz w:val="26"/>
          <w:szCs w:val="26"/>
        </w:rPr>
        <w:t xml:space="preserve">n </w:t>
      </w:r>
      <w:r w:rsidR="0009633C">
        <w:rPr>
          <w:b/>
          <w:bCs/>
          <w:sz w:val="26"/>
          <w:szCs w:val="26"/>
          <w:lang w:val="en-US"/>
        </w:rPr>
        <w:t>báo cáo tình hình tài chính (bảng cân đối kế toán)</w:t>
      </w:r>
    </w:p>
    <w:p w:rsidR="00E72B2E" w:rsidRPr="00E72B2E" w:rsidRDefault="00E72B2E" w:rsidP="00E72B2E">
      <w:pPr>
        <w:spacing w:line="312" w:lineRule="auto"/>
        <w:ind w:firstLine="720"/>
        <w:jc w:val="both"/>
        <w:rPr>
          <w:sz w:val="26"/>
          <w:szCs w:val="26"/>
        </w:rPr>
      </w:pPr>
      <w:r w:rsidRPr="00E72B2E">
        <w:rPr>
          <w:sz w:val="26"/>
          <w:szCs w:val="26"/>
        </w:rPr>
        <w:t xml:space="preserve">Dự báo các chỉ tiêu trên </w:t>
      </w:r>
      <w:r w:rsidR="0009633C" w:rsidRPr="0009633C">
        <w:rPr>
          <w:bCs/>
          <w:sz w:val="26"/>
          <w:szCs w:val="26"/>
          <w:lang w:val="en-US"/>
        </w:rPr>
        <w:t>bảng cân đối kế toán</w:t>
      </w:r>
      <w:r w:rsidR="0009633C" w:rsidRPr="00E72B2E">
        <w:rPr>
          <w:sz w:val="26"/>
          <w:szCs w:val="26"/>
        </w:rPr>
        <w:t xml:space="preserve"> </w:t>
      </w:r>
      <w:r w:rsidR="0009633C">
        <w:rPr>
          <w:sz w:val="26"/>
          <w:szCs w:val="26"/>
          <w:lang w:val="en-US"/>
        </w:rPr>
        <w:t>(</w:t>
      </w:r>
      <w:r w:rsidRPr="00E72B2E">
        <w:rPr>
          <w:sz w:val="26"/>
          <w:szCs w:val="26"/>
        </w:rPr>
        <w:t>BCĐKT</w:t>
      </w:r>
      <w:r w:rsidR="0009633C">
        <w:rPr>
          <w:sz w:val="26"/>
          <w:szCs w:val="26"/>
          <w:lang w:val="en-US"/>
        </w:rPr>
        <w:t>)</w:t>
      </w:r>
      <w:r w:rsidRPr="00E72B2E">
        <w:rPr>
          <w:sz w:val="26"/>
          <w:szCs w:val="26"/>
        </w:rPr>
        <w:t xml:space="preserve">, thực chất là xác định các chỉ tiêu để lập BCĐKT dự báo, đây là báo cáo dự báo về tài sản, công nợ và nguồn vốn tại thời điểm cuối kỳ của kỳ dự báo. Báo cáo này dựa trên mẫu của BCĐKT thực tế và có mối quan hệ chặt chẽ với BCKQKD dự báo và BCLCTT dự báo. Số dư của khoản mục lợi nhuận trên BCĐKT dự báo căn cứ vào lợi nhuận dự báo trên BCKQKD dự báo. Số dư của tiền dự báo được dự báo căn cứ vào số dư trên BCLCTT dự báo. </w:t>
      </w:r>
    </w:p>
    <w:p w:rsidR="00E72B2E" w:rsidRPr="00E72B2E" w:rsidRDefault="00E72B2E" w:rsidP="00E72B2E">
      <w:pPr>
        <w:spacing w:line="312" w:lineRule="auto"/>
        <w:jc w:val="both"/>
        <w:rPr>
          <w:sz w:val="26"/>
          <w:szCs w:val="26"/>
        </w:rPr>
      </w:pPr>
      <w:r w:rsidRPr="00E72B2E">
        <w:rPr>
          <w:sz w:val="26"/>
          <w:szCs w:val="26"/>
        </w:rPr>
        <w:t>Tuy nhiên khi lập BCĐKT dự báo thường xảy ra tình trạng không cân bằng giữa tài sản và nguồn vốn. Có 2 trường hợp có thể xảy ra khi dự báo BCĐKT như sau:</w:t>
      </w:r>
    </w:p>
    <w:p w:rsidR="00E72B2E" w:rsidRPr="00E72B2E" w:rsidRDefault="00E72B2E" w:rsidP="00E72B2E">
      <w:pPr>
        <w:spacing w:line="312" w:lineRule="auto"/>
        <w:jc w:val="both"/>
        <w:rPr>
          <w:sz w:val="26"/>
          <w:szCs w:val="26"/>
        </w:rPr>
      </w:pPr>
      <w:r w:rsidRPr="00E72B2E">
        <w:rPr>
          <w:i/>
          <w:iCs/>
          <w:sz w:val="26"/>
          <w:szCs w:val="26"/>
        </w:rPr>
        <w:t>- Tổng tài sản lớn hơn tổng nguồn vốn</w:t>
      </w:r>
      <w:r w:rsidRPr="00E72B2E">
        <w:rPr>
          <w:sz w:val="26"/>
          <w:szCs w:val="26"/>
        </w:rPr>
        <w:t>: Khi đó BCĐKT dự báo thể hiện nhu cầu cần có nguồn vốn bổ sung nếu doanh nghiệp thực hiện theo đúng chiến lược về tài sản</w:t>
      </w:r>
    </w:p>
    <w:p w:rsidR="00E72B2E" w:rsidRPr="00E72B2E" w:rsidRDefault="00E72B2E" w:rsidP="00E72B2E">
      <w:pPr>
        <w:spacing w:line="312" w:lineRule="auto"/>
        <w:jc w:val="both"/>
        <w:rPr>
          <w:sz w:val="26"/>
          <w:szCs w:val="26"/>
        </w:rPr>
      </w:pPr>
      <w:r w:rsidRPr="00E72B2E">
        <w:rPr>
          <w:i/>
          <w:iCs/>
          <w:sz w:val="26"/>
          <w:szCs w:val="26"/>
        </w:rPr>
        <w:t>- Tổng nguồn vốn lớn hơn tổng tài sản:</w:t>
      </w:r>
      <w:r w:rsidRPr="00E72B2E">
        <w:rPr>
          <w:sz w:val="26"/>
          <w:szCs w:val="26"/>
        </w:rPr>
        <w:t xml:space="preserve"> Khi đó BCĐKT dự báo chỉ ra sự dư thừa nguồn vốn mà doanh nghiệp có thể dùng đầu tư thêm hoặc bớt. </w:t>
      </w:r>
    </w:p>
    <w:p w:rsidR="00E72B2E" w:rsidRDefault="00E72B2E" w:rsidP="00E72B2E">
      <w:pPr>
        <w:spacing w:line="312" w:lineRule="auto"/>
        <w:ind w:firstLine="720"/>
        <w:jc w:val="both"/>
        <w:rPr>
          <w:sz w:val="26"/>
          <w:szCs w:val="26"/>
          <w:lang w:val="en-US"/>
        </w:rPr>
      </w:pPr>
      <w:r w:rsidRPr="00E72B2E">
        <w:rPr>
          <w:sz w:val="26"/>
          <w:szCs w:val="26"/>
        </w:rPr>
        <w:t xml:space="preserve">Để giải quyết 2 trường hợp này người ta bổ sung thêm khoản mục “Nhu cầu tài trợ” vào BCĐKT dự báo. Đây là khoản mục chỉ có trong BCĐKT dự báo. Nếu khoản mục này dương có nghĩa là nhu cầu tài sản lớn hơn nguồn vốn và như vậy doanh nghiệp cần phải tìm thêm nguồn tài trợ. Ngược lại, nếu khoản mục này âm thể hiện lượng vốn dư thừa mà doanh nghiệp có thể sử dụng để đầu tư. </w:t>
      </w:r>
    </w:p>
    <w:p w:rsidR="0009633C" w:rsidRPr="0009633C" w:rsidRDefault="0009633C" w:rsidP="00E72B2E">
      <w:pPr>
        <w:spacing w:line="312" w:lineRule="auto"/>
        <w:ind w:firstLine="720"/>
        <w:jc w:val="both"/>
        <w:rPr>
          <w:sz w:val="26"/>
          <w:szCs w:val="26"/>
          <w:lang w:val="en-US"/>
        </w:rPr>
      </w:pPr>
    </w:p>
    <w:p w:rsidR="00E72B2E" w:rsidRPr="00E72B2E" w:rsidRDefault="00E72B2E" w:rsidP="00E72B2E">
      <w:pPr>
        <w:spacing w:line="312" w:lineRule="auto"/>
        <w:jc w:val="both"/>
        <w:rPr>
          <w:sz w:val="26"/>
          <w:szCs w:val="26"/>
        </w:rPr>
      </w:pPr>
      <w:r w:rsidRPr="0009633C">
        <w:rPr>
          <w:b/>
          <w:sz w:val="26"/>
          <w:szCs w:val="26"/>
        </w:rPr>
        <w:lastRenderedPageBreak/>
        <w:t>*Tài liệu phân tích:</w:t>
      </w:r>
      <w:r w:rsidRPr="00E72B2E">
        <w:rPr>
          <w:sz w:val="26"/>
          <w:szCs w:val="26"/>
        </w:rPr>
        <w:t xml:space="preserve"> Số liệu tài Công ty TNHH thực phẩm Minh Anh. Dựa vào kết quả ở ví dụ 1 và 2 thì công ty cần phải huy động thêm 4.704 (ngàn đồng) vào cuối tháng 12/N. Số tiền cần huy động thêm này phải bằng với số tiền được tính trong dự báo ngân quỹ. Bảng cân đối kế toán dự báo năm N được lập như sau:</w:t>
      </w:r>
    </w:p>
    <w:tbl>
      <w:tblPr>
        <w:tblW w:w="7229" w:type="dxa"/>
        <w:tblInd w:w="534" w:type="dxa"/>
        <w:tblLook w:val="04A0" w:firstRow="1" w:lastRow="0" w:firstColumn="1" w:lastColumn="0" w:noHBand="0" w:noVBand="1"/>
      </w:tblPr>
      <w:tblGrid>
        <w:gridCol w:w="3260"/>
        <w:gridCol w:w="1984"/>
        <w:gridCol w:w="1985"/>
      </w:tblGrid>
      <w:tr w:rsidR="00E72B2E" w:rsidRPr="00E72B2E" w:rsidTr="0009633C">
        <w:trPr>
          <w:trHeight w:val="310"/>
        </w:trPr>
        <w:tc>
          <w:tcPr>
            <w:tcW w:w="7229" w:type="dxa"/>
            <w:gridSpan w:val="3"/>
            <w:tcBorders>
              <w:top w:val="nil"/>
              <w:left w:val="nil"/>
              <w:bottom w:val="single" w:sz="4" w:space="0" w:color="auto"/>
              <w:right w:val="nil"/>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 xml:space="preserve">                                                                           ĐVT: 1.000 đồng</w:t>
            </w:r>
          </w:p>
        </w:tc>
      </w:tr>
      <w:tr w:rsidR="00E72B2E" w:rsidRPr="00E72B2E" w:rsidTr="0009633C">
        <w:trPr>
          <w:trHeight w:val="310"/>
        </w:trPr>
        <w:tc>
          <w:tcPr>
            <w:tcW w:w="32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TÀI SẢN</w:t>
            </w:r>
          </w:p>
        </w:tc>
        <w:tc>
          <w:tcPr>
            <w:tcW w:w="396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72B2E" w:rsidRPr="00E72B2E" w:rsidRDefault="00E72B2E" w:rsidP="0009633C">
            <w:pPr>
              <w:spacing w:line="312" w:lineRule="auto"/>
              <w:jc w:val="center"/>
              <w:rPr>
                <w:b/>
                <w:bCs/>
                <w:color w:val="000000"/>
                <w:sz w:val="26"/>
                <w:szCs w:val="26"/>
              </w:rPr>
            </w:pPr>
            <w:r w:rsidRPr="00E72B2E">
              <w:rPr>
                <w:b/>
                <w:bCs/>
                <w:color w:val="000000"/>
                <w:sz w:val="26"/>
                <w:szCs w:val="26"/>
              </w:rPr>
              <w:t>SỐ TIỀN</w:t>
            </w:r>
          </w:p>
        </w:tc>
      </w:tr>
      <w:tr w:rsidR="00E72B2E" w:rsidRPr="00E72B2E" w:rsidTr="0009633C">
        <w:trPr>
          <w:trHeight w:val="310"/>
        </w:trPr>
        <w:tc>
          <w:tcPr>
            <w:tcW w:w="3260" w:type="dxa"/>
            <w:vMerge/>
            <w:tcBorders>
              <w:top w:val="nil"/>
              <w:left w:val="single" w:sz="4" w:space="0" w:color="auto"/>
              <w:bottom w:val="single" w:sz="4" w:space="0" w:color="auto"/>
              <w:right w:val="single" w:sz="4" w:space="0" w:color="auto"/>
            </w:tcBorders>
            <w:vAlign w:val="center"/>
            <w:hideMark/>
          </w:tcPr>
          <w:p w:rsidR="00E72B2E" w:rsidRPr="00E72B2E" w:rsidRDefault="00E72B2E" w:rsidP="00E72B2E">
            <w:pPr>
              <w:spacing w:line="312" w:lineRule="auto"/>
              <w:jc w:val="both"/>
              <w:rPr>
                <w:b/>
                <w:bCs/>
                <w:color w:val="000000"/>
                <w:sz w:val="26"/>
                <w:szCs w:val="26"/>
              </w:rPr>
            </w:pP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center"/>
              <w:rPr>
                <w:b/>
                <w:bCs/>
                <w:color w:val="000000"/>
                <w:sz w:val="26"/>
                <w:szCs w:val="26"/>
              </w:rPr>
            </w:pPr>
            <w:r w:rsidRPr="00E72B2E">
              <w:rPr>
                <w:b/>
                <w:bCs/>
                <w:color w:val="000000"/>
                <w:sz w:val="26"/>
                <w:szCs w:val="26"/>
              </w:rPr>
              <w:t>THỰC TẾ NĂM N-1</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center"/>
              <w:rPr>
                <w:b/>
                <w:bCs/>
                <w:color w:val="000000"/>
                <w:sz w:val="26"/>
                <w:szCs w:val="26"/>
              </w:rPr>
            </w:pPr>
            <w:r w:rsidRPr="00E72B2E">
              <w:rPr>
                <w:b/>
                <w:bCs/>
                <w:color w:val="000000"/>
                <w:sz w:val="26"/>
                <w:szCs w:val="26"/>
              </w:rPr>
              <w:t>DỰ BÁO NĂM N</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A.Tài sản ngắn hạn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347.200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404.424</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1.Tiền mặt</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2.Phải thu khách hàng</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247.200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272.464</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E72B2E" w:rsidRPr="00E72B2E" w:rsidRDefault="00E72B2E" w:rsidP="00E72B2E">
            <w:pPr>
              <w:spacing w:line="312" w:lineRule="auto"/>
              <w:jc w:val="both"/>
              <w:rPr>
                <w:color w:val="000000"/>
                <w:sz w:val="26"/>
                <w:szCs w:val="26"/>
              </w:rPr>
            </w:pPr>
            <w:r w:rsidRPr="00E72B2E">
              <w:rPr>
                <w:color w:val="000000"/>
                <w:sz w:val="26"/>
                <w:szCs w:val="26"/>
              </w:rPr>
              <w:t>3.Hàng tồn kho</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90.000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131.960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B.Tài sản dài hạn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40.000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60.000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E72B2E" w:rsidRPr="00E72B2E" w:rsidRDefault="00E72B2E" w:rsidP="00E72B2E">
            <w:pPr>
              <w:spacing w:line="312" w:lineRule="auto"/>
              <w:jc w:val="both"/>
              <w:rPr>
                <w:color w:val="000000"/>
                <w:sz w:val="26"/>
                <w:szCs w:val="26"/>
              </w:rPr>
            </w:pPr>
            <w:r w:rsidRPr="00E72B2E">
              <w:rPr>
                <w:color w:val="000000"/>
                <w:sz w:val="26"/>
                <w:szCs w:val="26"/>
              </w:rPr>
              <w:t>1.Nguyên giá TSCĐ</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60.000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86.000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2.Giá trị hao mòn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26.000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Tổng cộng tài sản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387.200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464.424</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NGUỒN VỐN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 </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A.Nợ phải trả</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203.000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243.800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1.Vay ngắn hạn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12.000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12.000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2.Phải trả người bán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71.000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111.800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3.Vay dài hạn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120.000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120.000</w:t>
            </w:r>
          </w:p>
        </w:tc>
      </w:tr>
      <w:tr w:rsidR="00E72B2E" w:rsidRPr="00E72B2E" w:rsidTr="0009633C">
        <w:trPr>
          <w:trHeight w:val="31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color w:val="000000"/>
                <w:sz w:val="26"/>
                <w:szCs w:val="26"/>
              </w:rPr>
            </w:pPr>
            <w:r w:rsidRPr="00E72B2E">
              <w:rPr>
                <w:b/>
                <w:bCs/>
                <w:color w:val="000000"/>
                <w:sz w:val="26"/>
                <w:szCs w:val="26"/>
              </w:rPr>
              <w:t>B.Vốn chủ sở hữu</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184.200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215.920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1.Nguồn vốn kinh doanh</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214.200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214.200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color w:val="000000"/>
                <w:sz w:val="26"/>
                <w:szCs w:val="26"/>
              </w:rPr>
            </w:pPr>
            <w:r w:rsidRPr="00E72B2E">
              <w:rPr>
                <w:color w:val="000000"/>
                <w:sz w:val="26"/>
                <w:szCs w:val="26"/>
              </w:rPr>
              <w:t>2.Lợi nhuận chưa phân phối</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30.000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1.720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i/>
                <w:iCs/>
                <w:color w:val="000000"/>
                <w:sz w:val="26"/>
                <w:szCs w:val="26"/>
              </w:rPr>
            </w:pPr>
            <w:r w:rsidRPr="00E72B2E">
              <w:rPr>
                <w:b/>
                <w:bCs/>
                <w:i/>
                <w:iCs/>
                <w:color w:val="000000"/>
                <w:sz w:val="26"/>
                <w:szCs w:val="26"/>
              </w:rPr>
              <w:t>Tổng nguồn vốn</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387.200</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459.720</w:t>
            </w:r>
          </w:p>
        </w:tc>
      </w:tr>
      <w:tr w:rsidR="00E72B2E" w:rsidRPr="00E72B2E" w:rsidTr="0009633C">
        <w:trPr>
          <w:trHeight w:val="330"/>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E72B2E" w:rsidRPr="00E72B2E" w:rsidRDefault="00E72B2E" w:rsidP="00E72B2E">
            <w:pPr>
              <w:spacing w:line="312" w:lineRule="auto"/>
              <w:jc w:val="both"/>
              <w:rPr>
                <w:b/>
                <w:bCs/>
                <w:i/>
                <w:iCs/>
                <w:color w:val="000000"/>
                <w:sz w:val="26"/>
                <w:szCs w:val="26"/>
              </w:rPr>
            </w:pPr>
            <w:r w:rsidRPr="00E72B2E">
              <w:rPr>
                <w:b/>
                <w:bCs/>
                <w:i/>
                <w:iCs/>
                <w:color w:val="000000"/>
                <w:sz w:val="26"/>
                <w:szCs w:val="26"/>
              </w:rPr>
              <w:t>Nhu cầu tài trợ</w:t>
            </w:r>
          </w:p>
        </w:tc>
        <w:tc>
          <w:tcPr>
            <w:tcW w:w="1984"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color w:val="000000"/>
                <w:sz w:val="26"/>
                <w:szCs w:val="26"/>
              </w:rPr>
            </w:pPr>
            <w:r w:rsidRPr="00E72B2E">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rsidR="00E72B2E" w:rsidRPr="00E72B2E" w:rsidRDefault="00E72B2E" w:rsidP="0009633C">
            <w:pPr>
              <w:spacing w:line="312" w:lineRule="auto"/>
              <w:jc w:val="right"/>
              <w:rPr>
                <w:b/>
                <w:bCs/>
                <w:color w:val="000000"/>
                <w:sz w:val="26"/>
                <w:szCs w:val="26"/>
              </w:rPr>
            </w:pPr>
            <w:r w:rsidRPr="00E72B2E">
              <w:rPr>
                <w:b/>
                <w:bCs/>
                <w:color w:val="000000"/>
                <w:sz w:val="26"/>
                <w:szCs w:val="26"/>
              </w:rPr>
              <w:t>-4.704</w:t>
            </w:r>
          </w:p>
        </w:tc>
      </w:tr>
    </w:tbl>
    <w:p w:rsidR="00E72B2E" w:rsidRPr="00E72B2E" w:rsidRDefault="00E72B2E" w:rsidP="00E72B2E">
      <w:pPr>
        <w:spacing w:line="312" w:lineRule="auto"/>
        <w:jc w:val="both"/>
        <w:rPr>
          <w:i/>
          <w:iCs/>
          <w:sz w:val="26"/>
          <w:szCs w:val="26"/>
        </w:rPr>
      </w:pPr>
      <w:r w:rsidRPr="00E72B2E">
        <w:rPr>
          <w:i/>
          <w:iCs/>
          <w:sz w:val="26"/>
          <w:szCs w:val="26"/>
        </w:rPr>
        <w:t xml:space="preserve">                            </w:t>
      </w:r>
      <w:r w:rsidR="00DA6D98">
        <w:rPr>
          <w:i/>
          <w:iCs/>
          <w:sz w:val="26"/>
          <w:szCs w:val="26"/>
        </w:rPr>
        <w:t xml:space="preserve">               </w:t>
      </w:r>
      <w:r w:rsidRPr="00E72B2E">
        <w:rPr>
          <w:i/>
          <w:iCs/>
          <w:sz w:val="26"/>
          <w:szCs w:val="26"/>
        </w:rPr>
        <w:t xml:space="preserve">(Nguồn: </w:t>
      </w:r>
      <w:r w:rsidRPr="00E72B2E">
        <w:rPr>
          <w:bCs/>
          <w:i/>
          <w:iCs/>
          <w:sz w:val="26"/>
          <w:szCs w:val="26"/>
        </w:rPr>
        <w:t>Công ty TNHH thực phẩm Minh Anh</w:t>
      </w:r>
      <w:r w:rsidRPr="00E72B2E">
        <w:rPr>
          <w:i/>
          <w:iCs/>
          <w:sz w:val="26"/>
          <w:szCs w:val="26"/>
        </w:rPr>
        <w:t>)</w:t>
      </w:r>
    </w:p>
    <w:p w:rsidR="00E72B2E" w:rsidRPr="00E72B2E" w:rsidRDefault="00E72B2E" w:rsidP="00E72B2E">
      <w:pPr>
        <w:tabs>
          <w:tab w:val="left" w:pos="720"/>
        </w:tabs>
        <w:spacing w:line="312" w:lineRule="auto"/>
        <w:jc w:val="both"/>
        <w:rPr>
          <w:sz w:val="26"/>
          <w:szCs w:val="26"/>
        </w:rPr>
      </w:pPr>
      <w:bookmarkStart w:id="1" w:name="_Hlk73600852"/>
      <w:r w:rsidRPr="00E72B2E">
        <w:rPr>
          <w:sz w:val="26"/>
          <w:szCs w:val="26"/>
        </w:rPr>
        <w:t>Cách dự báo số liệu như s</w:t>
      </w:r>
      <w:bookmarkStart w:id="2" w:name="_GoBack"/>
      <w:bookmarkEnd w:id="2"/>
      <w:r w:rsidRPr="00E72B2E">
        <w:rPr>
          <w:sz w:val="26"/>
          <w:szCs w:val="26"/>
        </w:rPr>
        <w:t>au:</w:t>
      </w:r>
    </w:p>
    <w:p w:rsidR="00E72B2E" w:rsidRPr="00E72B2E" w:rsidRDefault="00E72B2E" w:rsidP="00E72B2E">
      <w:pPr>
        <w:spacing w:line="312" w:lineRule="auto"/>
        <w:jc w:val="both"/>
        <w:rPr>
          <w:sz w:val="26"/>
          <w:szCs w:val="26"/>
        </w:rPr>
      </w:pPr>
      <w:r w:rsidRPr="00E72B2E">
        <w:rPr>
          <w:sz w:val="26"/>
          <w:szCs w:val="26"/>
        </w:rPr>
        <w:t>- Tiền mặt: Dựa vào dự báo ngân quỹ. Theo đó, ngày 31/12/N doanh nghiệp bị thâm hụt tiên nên tài khoản bằng 0</w:t>
      </w:r>
    </w:p>
    <w:p w:rsidR="00E72B2E" w:rsidRPr="00E72B2E" w:rsidRDefault="00E72B2E" w:rsidP="00E72B2E">
      <w:pPr>
        <w:spacing w:line="312" w:lineRule="auto"/>
        <w:jc w:val="both"/>
        <w:rPr>
          <w:sz w:val="26"/>
          <w:szCs w:val="26"/>
        </w:rPr>
      </w:pPr>
      <w:r w:rsidRPr="00E72B2E">
        <w:rPr>
          <w:sz w:val="26"/>
          <w:szCs w:val="26"/>
        </w:rPr>
        <w:t>- Phải thu khách hàng: Tính theo doanh thu bán chịu của 2 tháng cuối hoặc căn cứ vào số dư phải thu trong báo cáo dự báo các khoản phải thu năm N.</w:t>
      </w:r>
    </w:p>
    <w:p w:rsidR="00E72B2E" w:rsidRPr="00E72B2E" w:rsidRDefault="00E72B2E" w:rsidP="00E72B2E">
      <w:pPr>
        <w:spacing w:line="312" w:lineRule="auto"/>
        <w:jc w:val="both"/>
        <w:rPr>
          <w:sz w:val="26"/>
          <w:szCs w:val="26"/>
        </w:rPr>
      </w:pPr>
      <w:r w:rsidRPr="00E72B2E">
        <w:rPr>
          <w:sz w:val="26"/>
          <w:szCs w:val="26"/>
        </w:rPr>
        <w:t>- Giá trị hàng tồn kho được tính:</w:t>
      </w:r>
    </w:p>
    <w:tbl>
      <w:tblPr>
        <w:tblW w:w="8330" w:type="dxa"/>
        <w:tblInd w:w="675" w:type="dxa"/>
        <w:tblLook w:val="04A0" w:firstRow="1" w:lastRow="0" w:firstColumn="1" w:lastColumn="0" w:noHBand="0" w:noVBand="1"/>
      </w:tblPr>
      <w:tblGrid>
        <w:gridCol w:w="1668"/>
        <w:gridCol w:w="363"/>
        <w:gridCol w:w="237"/>
        <w:gridCol w:w="1668"/>
        <w:gridCol w:w="493"/>
        <w:gridCol w:w="1916"/>
        <w:gridCol w:w="433"/>
        <w:gridCol w:w="1552"/>
      </w:tblGrid>
      <w:tr w:rsidR="00E72B2E" w:rsidRPr="00E72B2E" w:rsidTr="0009633C">
        <w:tc>
          <w:tcPr>
            <w:tcW w:w="1668"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lastRenderedPageBreak/>
              <w:t>Giá trị hàng tồn kho cuối kỳ</w:t>
            </w:r>
          </w:p>
        </w:tc>
        <w:tc>
          <w:tcPr>
            <w:tcW w:w="363"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w:t>
            </w:r>
          </w:p>
        </w:tc>
        <w:tc>
          <w:tcPr>
            <w:tcW w:w="237" w:type="dxa"/>
            <w:vAlign w:val="center"/>
          </w:tcPr>
          <w:p w:rsidR="00E72B2E" w:rsidRPr="00E72B2E" w:rsidRDefault="00E72B2E" w:rsidP="0009633C">
            <w:pPr>
              <w:spacing w:line="312" w:lineRule="auto"/>
              <w:jc w:val="center"/>
              <w:rPr>
                <w:color w:val="000000" w:themeColor="text1"/>
                <w:sz w:val="26"/>
                <w:szCs w:val="26"/>
              </w:rPr>
            </w:pPr>
          </w:p>
        </w:tc>
        <w:tc>
          <w:tcPr>
            <w:tcW w:w="1668"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Giá trị hàng tồn kho đầu kỳ</w:t>
            </w:r>
          </w:p>
        </w:tc>
        <w:tc>
          <w:tcPr>
            <w:tcW w:w="493"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w:t>
            </w:r>
          </w:p>
        </w:tc>
        <w:tc>
          <w:tcPr>
            <w:tcW w:w="1916"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Giá trị hàng nhập kho trong kỳ</w:t>
            </w:r>
          </w:p>
        </w:tc>
        <w:tc>
          <w:tcPr>
            <w:tcW w:w="433"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w:t>
            </w:r>
          </w:p>
        </w:tc>
        <w:tc>
          <w:tcPr>
            <w:tcW w:w="1552" w:type="dxa"/>
            <w:vAlign w:val="center"/>
          </w:tcPr>
          <w:p w:rsidR="00E72B2E" w:rsidRPr="00E72B2E" w:rsidRDefault="00E72B2E" w:rsidP="0009633C">
            <w:pPr>
              <w:spacing w:line="312" w:lineRule="auto"/>
              <w:jc w:val="center"/>
              <w:rPr>
                <w:color w:val="000000" w:themeColor="text1"/>
                <w:sz w:val="26"/>
                <w:szCs w:val="26"/>
              </w:rPr>
            </w:pPr>
            <w:r w:rsidRPr="00E72B2E">
              <w:rPr>
                <w:color w:val="000000" w:themeColor="text1"/>
                <w:sz w:val="26"/>
                <w:szCs w:val="26"/>
              </w:rPr>
              <w:t>Giá trị hàng xuất bán trong kỳ</w:t>
            </w:r>
          </w:p>
        </w:tc>
      </w:tr>
    </w:tbl>
    <w:p w:rsidR="00E72B2E" w:rsidRPr="00E72B2E" w:rsidRDefault="00E72B2E" w:rsidP="00E72B2E">
      <w:pPr>
        <w:spacing w:line="312" w:lineRule="auto"/>
        <w:jc w:val="both"/>
        <w:rPr>
          <w:sz w:val="26"/>
          <w:szCs w:val="26"/>
        </w:rPr>
      </w:pPr>
      <w:r w:rsidRPr="00E72B2E">
        <w:rPr>
          <w:sz w:val="26"/>
          <w:szCs w:val="26"/>
        </w:rPr>
        <w:t>- Nguyên giá TSCĐ được xác định bằng nguyên giá TSCĐ đầu kỳ cộng với mua trong kỳ</w:t>
      </w:r>
    </w:p>
    <w:p w:rsidR="00E72B2E" w:rsidRPr="00E72B2E" w:rsidRDefault="00E72B2E" w:rsidP="00E72B2E">
      <w:pPr>
        <w:spacing w:line="312" w:lineRule="auto"/>
        <w:jc w:val="both"/>
        <w:rPr>
          <w:sz w:val="26"/>
          <w:szCs w:val="26"/>
        </w:rPr>
      </w:pPr>
      <w:r w:rsidRPr="00E72B2E">
        <w:rPr>
          <w:sz w:val="26"/>
          <w:szCs w:val="26"/>
        </w:rPr>
        <w:t>- Khoản phải trả người bán căn cứ vào giá trị hàng mua tháng 12 năm N</w:t>
      </w:r>
    </w:p>
    <w:p w:rsidR="00E72B2E" w:rsidRPr="00E72B2E" w:rsidRDefault="00E72B2E" w:rsidP="00E72B2E">
      <w:pPr>
        <w:spacing w:line="312" w:lineRule="auto"/>
        <w:jc w:val="both"/>
        <w:rPr>
          <w:sz w:val="26"/>
          <w:szCs w:val="26"/>
        </w:rPr>
      </w:pPr>
      <w:r w:rsidRPr="00E72B2E">
        <w:rPr>
          <w:sz w:val="26"/>
          <w:szCs w:val="26"/>
        </w:rPr>
        <w:t>- Vay ngắn hạn, dài hạn và vốn kinh doanh không đổi</w:t>
      </w:r>
    </w:p>
    <w:p w:rsidR="00E72B2E" w:rsidRPr="00E72B2E" w:rsidRDefault="00E72B2E" w:rsidP="00E72B2E">
      <w:pPr>
        <w:spacing w:line="312" w:lineRule="auto"/>
        <w:jc w:val="both"/>
        <w:rPr>
          <w:sz w:val="26"/>
          <w:szCs w:val="26"/>
        </w:rPr>
      </w:pPr>
      <w:r w:rsidRPr="00E72B2E">
        <w:rPr>
          <w:sz w:val="26"/>
          <w:szCs w:val="26"/>
        </w:rPr>
        <w:t xml:space="preserve">- Lợi nhuận chưa phân phối = Lợi nhuận năm trựớc (Lỗ lũy kế năm trước) + Lợi nhuận dự báo năm nay </w:t>
      </w:r>
    </w:p>
    <w:p w:rsidR="00E72B2E" w:rsidRPr="00DA6D98" w:rsidRDefault="00E72B2E" w:rsidP="00E72B2E">
      <w:pPr>
        <w:spacing w:line="312" w:lineRule="auto"/>
        <w:jc w:val="both"/>
        <w:rPr>
          <w:sz w:val="26"/>
          <w:szCs w:val="26"/>
          <w:lang w:val="en-US"/>
        </w:rPr>
      </w:pPr>
      <w:r w:rsidRPr="00E72B2E">
        <w:rPr>
          <w:sz w:val="26"/>
          <w:szCs w:val="26"/>
        </w:rPr>
        <w:t>- Nhu cầu tài trợ cho công ty là 4.704 ngàn đồng</w:t>
      </w:r>
      <w:r w:rsidR="00DA6D98">
        <w:rPr>
          <w:sz w:val="26"/>
          <w:szCs w:val="26"/>
          <w:lang w:val="en-US"/>
        </w:rPr>
        <w:t>.</w:t>
      </w:r>
    </w:p>
    <w:p w:rsidR="007C5C80" w:rsidRPr="007C5C80" w:rsidRDefault="007C5C80" w:rsidP="00E72B2E">
      <w:pPr>
        <w:spacing w:line="312" w:lineRule="auto"/>
        <w:jc w:val="both"/>
        <w:rPr>
          <w:sz w:val="26"/>
          <w:szCs w:val="26"/>
          <w:lang w:val="en-US"/>
        </w:rPr>
      </w:pPr>
    </w:p>
    <w:bookmarkEnd w:id="1"/>
    <w:p w:rsidR="0009633C" w:rsidRDefault="007C5C80" w:rsidP="00E72B2E">
      <w:pPr>
        <w:spacing w:line="312" w:lineRule="auto"/>
        <w:jc w:val="both"/>
        <w:rPr>
          <w:sz w:val="26"/>
          <w:szCs w:val="26"/>
          <w:lang w:val="en-US"/>
        </w:rPr>
      </w:pPr>
      <w:r w:rsidRPr="0009633C">
        <w:rPr>
          <w:i/>
          <w:sz w:val="26"/>
          <w:szCs w:val="26"/>
          <w:lang w:val="en-US"/>
        </w:rPr>
        <w:t>Kết luận</w:t>
      </w:r>
      <w:r w:rsidR="0009633C">
        <w:rPr>
          <w:sz w:val="26"/>
          <w:szCs w:val="26"/>
          <w:lang w:val="en-US"/>
        </w:rPr>
        <w:t>:</w:t>
      </w:r>
    </w:p>
    <w:p w:rsidR="00E72B2E" w:rsidRPr="00E72B2E" w:rsidRDefault="007C5C80" w:rsidP="009F180C">
      <w:pPr>
        <w:spacing w:line="312" w:lineRule="auto"/>
        <w:ind w:firstLine="720"/>
        <w:jc w:val="both"/>
        <w:rPr>
          <w:b/>
          <w:sz w:val="26"/>
          <w:szCs w:val="26"/>
          <w:lang w:val="en-US"/>
        </w:rPr>
      </w:pPr>
      <w:r w:rsidRPr="00BF0EDA">
        <w:rPr>
          <w:sz w:val="26"/>
          <w:szCs w:val="26"/>
          <w:lang w:val="en-US"/>
        </w:rPr>
        <w:t>Đối với các nhà quản trị doanh nghiệp đặc biệt là các nhà quản trị tài chính, muốn quản trị tốt, sử dụng có hiệu quả nguồn lực kinh tế hạn hẹp họ phải dự báo được tình hình tài chính, tiên đoán được các tình huống có thể xảy ra để</w:t>
      </w:r>
      <w:r>
        <w:rPr>
          <w:sz w:val="26"/>
          <w:szCs w:val="26"/>
          <w:lang w:val="en-US"/>
        </w:rPr>
        <w:t xml:space="preserve"> </w:t>
      </w:r>
      <w:r w:rsidRPr="00BF0EDA">
        <w:rPr>
          <w:sz w:val="26"/>
          <w:szCs w:val="26"/>
          <w:lang w:val="en-US"/>
        </w:rPr>
        <w:t>xây dựng kế hoạch cụ thể và có biện pháp ứng xử phù hợp. Nhờ các báo cáo tài chính dự báo, các nhà quản trị có thể thấy được triển vọng tài chính, cho các nhà quản trị biết cần phải thực hiện kế hoạch và phương án nào, mua sắm tài sản, dự trữ hàng tồn kho ở mức nào, dự trữ tiền mặt là bao nhiêu…giúp họ c</w:t>
      </w:r>
      <w:r w:rsidR="00E23350">
        <w:rPr>
          <w:sz w:val="26"/>
          <w:szCs w:val="26"/>
          <w:lang w:val="en-US"/>
        </w:rPr>
        <w:t>hủ động hơn trong hoạt động sản xuất kinh doanh</w:t>
      </w:r>
      <w:r w:rsidRPr="00BF0EDA">
        <w:rPr>
          <w:sz w:val="26"/>
          <w:szCs w:val="26"/>
          <w:lang w:val="en-US"/>
        </w:rPr>
        <w:t>.</w:t>
      </w:r>
    </w:p>
    <w:p w:rsidR="00766FAA" w:rsidRPr="00E72B2E" w:rsidRDefault="00766FAA" w:rsidP="00E72B2E">
      <w:pPr>
        <w:spacing w:before="120" w:line="288" w:lineRule="auto"/>
        <w:jc w:val="both"/>
        <w:rPr>
          <w:b/>
          <w:sz w:val="26"/>
          <w:szCs w:val="26"/>
          <w:lang w:val="en-US"/>
        </w:rPr>
      </w:pPr>
      <w:r w:rsidRPr="00E72B2E">
        <w:rPr>
          <w:b/>
          <w:sz w:val="26"/>
          <w:szCs w:val="26"/>
          <w:lang w:val="en-US"/>
        </w:rPr>
        <w:t>TÀI LIỆU THAM KHẢO</w:t>
      </w:r>
    </w:p>
    <w:p w:rsidR="003D7924" w:rsidRPr="003D7924" w:rsidRDefault="003D7924" w:rsidP="003D7924">
      <w:pPr>
        <w:tabs>
          <w:tab w:val="left" w:pos="567"/>
          <w:tab w:val="left" w:pos="851"/>
        </w:tabs>
        <w:adjustRightInd w:val="0"/>
        <w:spacing w:line="312" w:lineRule="auto"/>
        <w:contextualSpacing/>
        <w:jc w:val="both"/>
        <w:rPr>
          <w:sz w:val="26"/>
          <w:szCs w:val="26"/>
        </w:rPr>
      </w:pPr>
      <w:r>
        <w:rPr>
          <w:sz w:val="26"/>
          <w:szCs w:val="26"/>
          <w:lang w:val="en-US"/>
        </w:rPr>
        <w:t xml:space="preserve">1. </w:t>
      </w:r>
      <w:r w:rsidRPr="003D7924">
        <w:rPr>
          <w:sz w:val="26"/>
          <w:szCs w:val="26"/>
        </w:rPr>
        <w:t xml:space="preserve">TS. Phạm Thị Thủy, TS. Nguyễn Thị </w:t>
      </w:r>
      <w:proofErr w:type="gramStart"/>
      <w:r w:rsidRPr="003D7924">
        <w:rPr>
          <w:sz w:val="26"/>
          <w:szCs w:val="26"/>
        </w:rPr>
        <w:t>Lan</w:t>
      </w:r>
      <w:proofErr w:type="gramEnd"/>
      <w:r w:rsidRPr="003D7924">
        <w:rPr>
          <w:sz w:val="26"/>
          <w:szCs w:val="26"/>
        </w:rPr>
        <w:t xml:space="preserve"> Anh (2018), Báo cáo tài chính - Phân tích – dự báo và định giá, Nhà xuất bản Đại học kinh tế quốc dân.</w:t>
      </w:r>
    </w:p>
    <w:p w:rsidR="003D7924" w:rsidRPr="003D7924" w:rsidRDefault="003D7924" w:rsidP="003D7924">
      <w:pPr>
        <w:tabs>
          <w:tab w:val="left" w:pos="567"/>
          <w:tab w:val="left" w:pos="851"/>
        </w:tabs>
        <w:adjustRightInd w:val="0"/>
        <w:spacing w:line="312" w:lineRule="auto"/>
        <w:contextualSpacing/>
        <w:jc w:val="both"/>
        <w:rPr>
          <w:sz w:val="26"/>
          <w:szCs w:val="26"/>
        </w:rPr>
      </w:pPr>
      <w:r>
        <w:rPr>
          <w:sz w:val="26"/>
          <w:szCs w:val="26"/>
          <w:lang w:val="en-US"/>
        </w:rPr>
        <w:t xml:space="preserve">2. </w:t>
      </w:r>
      <w:r w:rsidRPr="003D7924">
        <w:rPr>
          <w:sz w:val="26"/>
          <w:szCs w:val="26"/>
        </w:rPr>
        <w:t xml:space="preserve">PGS.TS. Nguyễn Năng Phúc (2008), </w:t>
      </w:r>
      <w:r w:rsidRPr="003D7924">
        <w:rPr>
          <w:i/>
          <w:iCs/>
          <w:sz w:val="26"/>
          <w:szCs w:val="26"/>
        </w:rPr>
        <w:t>Phân tích báo cáo tài chính</w:t>
      </w:r>
      <w:r w:rsidRPr="003D7924">
        <w:rPr>
          <w:sz w:val="26"/>
          <w:szCs w:val="26"/>
        </w:rPr>
        <w:t>, Nhà xuất bản Đại học kinh tế quốc dân.</w:t>
      </w:r>
    </w:p>
    <w:p w:rsidR="00AB3823" w:rsidRPr="00BF0EDA" w:rsidRDefault="00AB3823" w:rsidP="00AB3823">
      <w:pPr>
        <w:tabs>
          <w:tab w:val="left" w:pos="720"/>
        </w:tabs>
        <w:spacing w:line="360" w:lineRule="auto"/>
        <w:jc w:val="both"/>
        <w:rPr>
          <w:sz w:val="26"/>
          <w:szCs w:val="26"/>
          <w:lang w:val="en-US"/>
        </w:rPr>
      </w:pPr>
      <w:r>
        <w:rPr>
          <w:sz w:val="26"/>
          <w:szCs w:val="26"/>
          <w:lang w:val="en-US"/>
        </w:rPr>
        <w:t xml:space="preserve">3. </w:t>
      </w:r>
      <w:r w:rsidRPr="00BF0EDA">
        <w:rPr>
          <w:sz w:val="26"/>
          <w:szCs w:val="26"/>
          <w:lang w:val="en-US"/>
        </w:rPr>
        <w:t xml:space="preserve">Ngô Thế Chi, 2009, </w:t>
      </w:r>
      <w:r w:rsidRPr="00BF0EDA">
        <w:rPr>
          <w:i/>
          <w:sz w:val="26"/>
          <w:szCs w:val="26"/>
          <w:lang w:val="en-US"/>
        </w:rPr>
        <w:t>Giáo trình phân tích Báo cáo tài chính doanh nghiệp</w:t>
      </w:r>
      <w:r w:rsidRPr="00BF0EDA">
        <w:rPr>
          <w:sz w:val="26"/>
          <w:szCs w:val="26"/>
          <w:lang w:val="en-US"/>
        </w:rPr>
        <w:t>, NXB Tài chính</w:t>
      </w:r>
    </w:p>
    <w:p w:rsidR="00AB3823" w:rsidRPr="00BF0EDA" w:rsidRDefault="00AB3823" w:rsidP="00AB3823">
      <w:pPr>
        <w:tabs>
          <w:tab w:val="left" w:pos="720"/>
        </w:tabs>
        <w:spacing w:line="360" w:lineRule="auto"/>
        <w:jc w:val="both"/>
        <w:rPr>
          <w:sz w:val="26"/>
          <w:szCs w:val="26"/>
          <w:lang w:val="en-US"/>
        </w:rPr>
      </w:pPr>
      <w:proofErr w:type="gramStart"/>
      <w:r>
        <w:rPr>
          <w:sz w:val="26"/>
          <w:szCs w:val="26"/>
          <w:lang w:val="en-US"/>
        </w:rPr>
        <w:t>4.</w:t>
      </w:r>
      <w:r w:rsidRPr="00BF0EDA">
        <w:rPr>
          <w:sz w:val="26"/>
          <w:szCs w:val="26"/>
          <w:lang w:val="en-US"/>
        </w:rPr>
        <w:t>Trương</w:t>
      </w:r>
      <w:proofErr w:type="gramEnd"/>
      <w:r w:rsidRPr="00BF0EDA">
        <w:rPr>
          <w:sz w:val="26"/>
          <w:szCs w:val="26"/>
          <w:lang w:val="en-US"/>
        </w:rPr>
        <w:t xml:space="preserve"> Bá Thanh, 2005, </w:t>
      </w:r>
      <w:r w:rsidRPr="00BF0EDA">
        <w:rPr>
          <w:i/>
          <w:sz w:val="26"/>
          <w:szCs w:val="26"/>
          <w:lang w:val="en-US"/>
        </w:rPr>
        <w:t>Giáo trình Phân tích Báo cáo tài chính doanh nghiệp,</w:t>
      </w:r>
      <w:r w:rsidRPr="00BF0EDA">
        <w:rPr>
          <w:sz w:val="26"/>
          <w:szCs w:val="26"/>
          <w:lang w:val="en-US"/>
        </w:rPr>
        <w:t xml:space="preserve"> Đại học Kinh Tế Đà Nẵng.</w:t>
      </w:r>
    </w:p>
    <w:p w:rsidR="00766FAA" w:rsidRPr="00E72B2E" w:rsidRDefault="00766FAA" w:rsidP="00E72B2E">
      <w:pPr>
        <w:spacing w:before="120" w:line="288" w:lineRule="auto"/>
        <w:jc w:val="both"/>
        <w:rPr>
          <w:sz w:val="26"/>
          <w:szCs w:val="26"/>
          <w:lang w:val="en-US"/>
        </w:rPr>
      </w:pPr>
    </w:p>
    <w:p w:rsidR="001A5338" w:rsidRPr="00E72B2E" w:rsidRDefault="001A5338" w:rsidP="00E72B2E">
      <w:pPr>
        <w:spacing w:line="312" w:lineRule="auto"/>
        <w:jc w:val="both"/>
        <w:rPr>
          <w:sz w:val="26"/>
          <w:szCs w:val="26"/>
          <w:lang w:val="en-US"/>
        </w:rPr>
      </w:pPr>
    </w:p>
    <w:sectPr w:rsidR="001A5338" w:rsidRPr="00E7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E2EB4"/>
    <w:multiLevelType w:val="hybridMultilevel"/>
    <w:tmpl w:val="E96EB738"/>
    <w:lvl w:ilvl="0" w:tplc="ACF0DDA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
    <w:nsid w:val="7D4E7752"/>
    <w:multiLevelType w:val="multilevel"/>
    <w:tmpl w:val="72103C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7E2D5B75"/>
    <w:multiLevelType w:val="multilevel"/>
    <w:tmpl w:val="B5369140"/>
    <w:lvl w:ilvl="0">
      <w:start w:val="1"/>
      <w:numFmt w:val="decimal"/>
      <w:lvlText w:val="%1."/>
      <w:lvlJc w:val="left"/>
      <w:pPr>
        <w:ind w:left="327"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102" w:hanging="392"/>
        <w:jc w:val="left"/>
      </w:pPr>
      <w:rPr>
        <w:rFonts w:ascii="Times New Roman" w:eastAsia="Times New Roman" w:hAnsi="Times New Roman" w:cs="Times New Roman" w:hint="default"/>
        <w:b/>
        <w:bCs/>
        <w:i/>
        <w:iCs/>
        <w:spacing w:val="0"/>
        <w:w w:val="100"/>
        <w:sz w:val="22"/>
        <w:szCs w:val="22"/>
        <w:lang w:val="vi" w:eastAsia="en-US" w:bidi="ar-SA"/>
      </w:rPr>
    </w:lvl>
    <w:lvl w:ilvl="2">
      <w:start w:val="1"/>
      <w:numFmt w:val="decimal"/>
      <w:lvlText w:val="%1.%2.%3."/>
      <w:lvlJc w:val="left"/>
      <w:pPr>
        <w:ind w:left="658" w:hanging="557"/>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529" w:hanging="132"/>
      </w:pPr>
      <w:rPr>
        <w:rFonts w:hint="default"/>
        <w:lang w:val="vi" w:eastAsia="en-US" w:bidi="ar-SA"/>
      </w:rPr>
    </w:lvl>
    <w:lvl w:ilvl="5">
      <w:numFmt w:val="bullet"/>
      <w:lvlText w:val="•"/>
      <w:lvlJc w:val="left"/>
      <w:pPr>
        <w:ind w:left="399" w:hanging="132"/>
      </w:pPr>
      <w:rPr>
        <w:rFonts w:hint="default"/>
        <w:lang w:val="vi" w:eastAsia="en-US" w:bidi="ar-SA"/>
      </w:rPr>
    </w:lvl>
    <w:lvl w:ilvl="6">
      <w:numFmt w:val="bullet"/>
      <w:lvlText w:val="•"/>
      <w:lvlJc w:val="left"/>
      <w:pPr>
        <w:ind w:left="269" w:hanging="132"/>
      </w:pPr>
      <w:rPr>
        <w:rFonts w:hint="default"/>
        <w:lang w:val="vi" w:eastAsia="en-US" w:bidi="ar-SA"/>
      </w:rPr>
    </w:lvl>
    <w:lvl w:ilvl="7">
      <w:numFmt w:val="bullet"/>
      <w:lvlText w:val="•"/>
      <w:lvlJc w:val="left"/>
      <w:pPr>
        <w:ind w:left="138" w:hanging="132"/>
      </w:pPr>
      <w:rPr>
        <w:rFonts w:hint="default"/>
        <w:lang w:val="vi" w:eastAsia="en-US" w:bidi="ar-SA"/>
      </w:rPr>
    </w:lvl>
    <w:lvl w:ilvl="8">
      <w:numFmt w:val="bullet"/>
      <w:lvlText w:val="•"/>
      <w:lvlJc w:val="left"/>
      <w:pPr>
        <w:ind w:left="8" w:hanging="132"/>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20"/>
    <w:rsid w:val="00077625"/>
    <w:rsid w:val="0009633C"/>
    <w:rsid w:val="00147041"/>
    <w:rsid w:val="0017716D"/>
    <w:rsid w:val="001A2A9E"/>
    <w:rsid w:val="001A5338"/>
    <w:rsid w:val="001F6762"/>
    <w:rsid w:val="003D7924"/>
    <w:rsid w:val="004F4A69"/>
    <w:rsid w:val="005375F5"/>
    <w:rsid w:val="005F4E20"/>
    <w:rsid w:val="00766FAA"/>
    <w:rsid w:val="0077611C"/>
    <w:rsid w:val="007C5C80"/>
    <w:rsid w:val="00845356"/>
    <w:rsid w:val="008722F5"/>
    <w:rsid w:val="008922B9"/>
    <w:rsid w:val="008B4B0C"/>
    <w:rsid w:val="009F180C"/>
    <w:rsid w:val="00AB2115"/>
    <w:rsid w:val="00AB3823"/>
    <w:rsid w:val="00B83622"/>
    <w:rsid w:val="00BE7C39"/>
    <w:rsid w:val="00CF03BB"/>
    <w:rsid w:val="00DA3CA6"/>
    <w:rsid w:val="00DA6D98"/>
    <w:rsid w:val="00E23350"/>
    <w:rsid w:val="00E34B23"/>
    <w:rsid w:val="00E72B2E"/>
    <w:rsid w:val="00EB6014"/>
    <w:rsid w:val="00F4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D7924"/>
    <w:pPr>
      <w:widowControl/>
      <w:autoSpaceDE/>
      <w:autoSpaceDN/>
      <w:ind w:left="72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D7924"/>
    <w:pPr>
      <w:widowControl/>
      <w:autoSpaceDE/>
      <w:autoSpaceDN/>
      <w:ind w:left="72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2024-10-09T09:07:00Z</dcterms:created>
  <dcterms:modified xsi:type="dcterms:W3CDTF">2024-10-09T10:17:00Z</dcterms:modified>
</cp:coreProperties>
</file>