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13" w:rsidRPr="00B74AB3" w:rsidRDefault="00A66613" w:rsidP="00B74AB3">
      <w:pPr>
        <w:shd w:val="clear" w:color="auto" w:fill="FFFFFF"/>
        <w:spacing w:after="0" w:line="360" w:lineRule="auto"/>
        <w:jc w:val="center"/>
        <w:rPr>
          <w:rFonts w:ascii="Times New Roman" w:eastAsia="Times New Roman" w:hAnsi="Times New Roman" w:cs="Times New Roman"/>
          <w:b/>
          <w:i/>
          <w:iCs/>
          <w:sz w:val="30"/>
          <w:szCs w:val="26"/>
          <w:lang w:val="vi-VN"/>
        </w:rPr>
      </w:pPr>
      <w:r w:rsidRPr="00B74AB3">
        <w:rPr>
          <w:rFonts w:ascii="Times New Roman" w:eastAsia="Times New Roman" w:hAnsi="Times New Roman" w:cs="Times New Roman"/>
          <w:b/>
          <w:i/>
          <w:iCs/>
          <w:sz w:val="30"/>
          <w:szCs w:val="26"/>
          <w:lang w:val="vi-VN"/>
        </w:rPr>
        <w:t>DỰ KIẾN TĂNG LƯƠNG CHO 9 ĐỐI TƯỢNG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i/>
          <w:iCs/>
          <w:sz w:val="26"/>
          <w:szCs w:val="26"/>
          <w:lang w:val="vi-VN"/>
        </w:rPr>
      </w:pPr>
    </w:p>
    <w:p w:rsidR="00A66613" w:rsidRPr="00B74AB3" w:rsidRDefault="00A66613" w:rsidP="00B74AB3">
      <w:pPr>
        <w:shd w:val="clear" w:color="auto" w:fill="FFFFFF"/>
        <w:spacing w:after="0" w:line="360" w:lineRule="auto"/>
        <w:jc w:val="both"/>
        <w:rPr>
          <w:rFonts w:ascii="Times New Roman" w:eastAsia="Times New Roman" w:hAnsi="Times New Roman" w:cs="Times New Roman"/>
          <w:iCs/>
          <w:sz w:val="26"/>
          <w:szCs w:val="26"/>
          <w:lang w:val="vi-VN"/>
        </w:rPr>
      </w:pPr>
      <w:r w:rsidRPr="00B74AB3">
        <w:rPr>
          <w:rFonts w:ascii="Times New Roman" w:eastAsia="Times New Roman" w:hAnsi="Times New Roman" w:cs="Times New Roman"/>
          <w:iCs/>
          <w:sz w:val="26"/>
          <w:szCs w:val="26"/>
          <w:lang w:val="vi-VN"/>
        </w:rPr>
        <w:t>Hiện nay, Bộ nội vụ đang lấy ý kiến về dự thảo nghị định của Chính phủ quy định mức lương cơ sở đối với cán bộ công chức viên chức và lực lượng vũ trang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lang w:val="vi-VN"/>
        </w:rPr>
      </w:pPr>
      <w:r w:rsidRPr="00B74AB3">
        <w:rPr>
          <w:rFonts w:ascii="Times New Roman" w:eastAsia="Times New Roman" w:hAnsi="Times New Roman" w:cs="Times New Roman"/>
          <w:sz w:val="26"/>
          <w:szCs w:val="26"/>
        </w:rPr>
        <w:t>Theo đó, từ ngày 01/7/2023, mức lương cơ sở là 1.800.000 đồng/tháng sẽ áp dụng đối với 9 nhóm đối tư</w:t>
      </w:r>
      <w:bookmarkStart w:id="0" w:name="_GoBack"/>
      <w:bookmarkEnd w:id="0"/>
      <w:r w:rsidRPr="00B74AB3">
        <w:rPr>
          <w:rFonts w:ascii="Times New Roman" w:eastAsia="Times New Roman" w:hAnsi="Times New Roman" w:cs="Times New Roman"/>
          <w:sz w:val="26"/>
          <w:szCs w:val="26"/>
        </w:rPr>
        <w:t>ợng sau</w:t>
      </w:r>
      <w:r w:rsidRPr="00B74AB3">
        <w:rPr>
          <w:rFonts w:ascii="Times New Roman" w:eastAsia="Times New Roman" w:hAnsi="Times New Roman" w:cs="Times New Roman"/>
          <w:sz w:val="26"/>
          <w:szCs w:val="26"/>
          <w:lang w:val="vi-VN"/>
        </w:rPr>
        <w:t>:</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1:</w:t>
      </w:r>
      <w:r w:rsidRPr="00B74AB3">
        <w:rPr>
          <w:rFonts w:ascii="Times New Roman" w:eastAsia="Times New Roman" w:hAnsi="Times New Roman" w:cs="Times New Roman"/>
          <w:sz w:val="26"/>
          <w:szCs w:val="26"/>
        </w:rPr>
        <w:t> Cán bộ, công chức từ Trung ương đến cấp huyện.</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Quy định tại khoản 1 và khoản 2 Điều 4 </w:t>
      </w:r>
      <w:hyperlink r:id="rId4" w:tgtFrame="_blank" w:history="1">
        <w:r w:rsidRPr="00B74AB3">
          <w:rPr>
            <w:rFonts w:ascii="Times New Roman" w:eastAsia="Times New Roman" w:hAnsi="Times New Roman" w:cs="Times New Roman"/>
            <w:bCs/>
            <w:sz w:val="26"/>
            <w:szCs w:val="26"/>
          </w:rPr>
          <w:t>Luật Cán bộ, công chức 2008</w:t>
        </w:r>
      </w:hyperlink>
      <w:r w:rsidRPr="00B74AB3">
        <w:rPr>
          <w:rFonts w:ascii="Times New Roman" w:eastAsia="Times New Roman" w:hAnsi="Times New Roman" w:cs="Times New Roman"/>
          <w:sz w:val="26"/>
          <w:szCs w:val="26"/>
        </w:rPr>
        <w:t> (sửa đổi, bổ sung tại Luật sửa đổi, bổ sung một số điều của </w:t>
      </w:r>
      <w:hyperlink r:id="rId5" w:tgtFrame="_blank" w:history="1">
        <w:r w:rsidRPr="00B74AB3">
          <w:rPr>
            <w:rFonts w:ascii="Times New Roman" w:eastAsia="Times New Roman" w:hAnsi="Times New Roman" w:cs="Times New Roman"/>
            <w:bCs/>
            <w:sz w:val="26"/>
            <w:szCs w:val="26"/>
          </w:rPr>
          <w:t>Luật Cán bộ, công chức và Luật Viên chức 2019</w:t>
        </w:r>
      </w:hyperlink>
      <w:r w:rsidRPr="00B74AB3">
        <w:rPr>
          <w:rFonts w:ascii="Times New Roman" w:eastAsia="Times New Roman" w:hAnsi="Times New Roman" w:cs="Times New Roman"/>
          <w:sz w:val="26"/>
          <w:szCs w:val="26"/>
        </w:rPr>
        <w:t>)</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2:</w:t>
      </w:r>
      <w:r w:rsidRPr="00B74AB3">
        <w:rPr>
          <w:rFonts w:ascii="Times New Roman" w:eastAsia="Times New Roman" w:hAnsi="Times New Roman" w:cs="Times New Roman"/>
          <w:sz w:val="26"/>
          <w:szCs w:val="26"/>
        </w:rPr>
        <w:t> Cán bộ, công chức cấp xã</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Quy định tại khoản 3 Điều 4 </w:t>
      </w:r>
      <w:hyperlink r:id="rId6" w:tgtFrame="_blank" w:history="1">
        <w:r w:rsidRPr="00B74AB3">
          <w:rPr>
            <w:rFonts w:ascii="Times New Roman" w:eastAsia="Times New Roman" w:hAnsi="Times New Roman" w:cs="Times New Roman"/>
            <w:bCs/>
            <w:sz w:val="26"/>
            <w:szCs w:val="26"/>
          </w:rPr>
          <w:t>Luật Cán bộ, công chức 2008</w:t>
        </w:r>
      </w:hyperlink>
      <w:r w:rsidRPr="00B74AB3">
        <w:rPr>
          <w:rFonts w:ascii="Times New Roman" w:eastAsia="Times New Roman" w:hAnsi="Times New Roman" w:cs="Times New Roman"/>
          <w:sz w:val="26"/>
          <w:szCs w:val="26"/>
        </w:rPr>
        <w:t> (sửa đổi, bổ sung tại Luật sửa đổi, bổ sung một số điều của </w:t>
      </w:r>
      <w:hyperlink r:id="rId7" w:tgtFrame="_blank" w:history="1">
        <w:r w:rsidRPr="00B74AB3">
          <w:rPr>
            <w:rFonts w:ascii="Times New Roman" w:eastAsia="Times New Roman" w:hAnsi="Times New Roman" w:cs="Times New Roman"/>
            <w:bCs/>
            <w:sz w:val="26"/>
            <w:szCs w:val="26"/>
          </w:rPr>
          <w:t>Luật Cán bộ, công chức và Luật Viên chức 2019</w:t>
        </w:r>
      </w:hyperlink>
      <w:r w:rsidRPr="00B74AB3">
        <w:rPr>
          <w:rFonts w:ascii="Times New Roman" w:eastAsia="Times New Roman" w:hAnsi="Times New Roman" w:cs="Times New Roman"/>
          <w:sz w:val="26"/>
          <w:szCs w:val="26"/>
        </w:rPr>
        <w:t>).</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3:</w:t>
      </w:r>
      <w:r w:rsidRPr="00B74AB3">
        <w:rPr>
          <w:rFonts w:ascii="Times New Roman" w:eastAsia="Times New Roman" w:hAnsi="Times New Roman" w:cs="Times New Roman"/>
          <w:sz w:val="26"/>
          <w:szCs w:val="26"/>
        </w:rPr>
        <w:t> Viên chức trong các đơn vị sự nghiệp công lập</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Quy định tại </w:t>
      </w:r>
      <w:hyperlink r:id="rId8" w:tgtFrame="_blank" w:history="1">
        <w:r w:rsidRPr="00B74AB3">
          <w:rPr>
            <w:rFonts w:ascii="Times New Roman" w:eastAsia="Times New Roman" w:hAnsi="Times New Roman" w:cs="Times New Roman"/>
            <w:bCs/>
            <w:sz w:val="26"/>
            <w:szCs w:val="26"/>
          </w:rPr>
          <w:t>Luật Viên chức năm 2010</w:t>
        </w:r>
      </w:hyperlink>
      <w:r w:rsidRPr="00B74AB3">
        <w:rPr>
          <w:rFonts w:ascii="Times New Roman" w:eastAsia="Times New Roman" w:hAnsi="Times New Roman" w:cs="Times New Roman"/>
          <w:sz w:val="26"/>
          <w:szCs w:val="26"/>
        </w:rPr>
        <w:t> (sửa đổi, bổ sung tại Luật sửa đổi, bổ sung một số điều của Luật Cán bộ, công chức và </w:t>
      </w:r>
      <w:hyperlink r:id="rId9" w:tgtFrame="_blank" w:history="1">
        <w:r w:rsidRPr="00B74AB3">
          <w:rPr>
            <w:rFonts w:ascii="Times New Roman" w:eastAsia="Times New Roman" w:hAnsi="Times New Roman" w:cs="Times New Roman"/>
            <w:bCs/>
            <w:sz w:val="26"/>
            <w:szCs w:val="26"/>
          </w:rPr>
          <w:t>Luật Cán bộ, công chức và Luật Viên chức 2019</w:t>
        </w:r>
      </w:hyperlink>
      <w:r w:rsidRPr="00B74AB3">
        <w:rPr>
          <w:rFonts w:ascii="Times New Roman" w:eastAsia="Times New Roman" w:hAnsi="Times New Roman" w:cs="Times New Roman"/>
          <w:sz w:val="26"/>
          <w:szCs w:val="26"/>
        </w:rPr>
        <w:t>)</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4: </w:t>
      </w:r>
      <w:r w:rsidRPr="00B74AB3">
        <w:rPr>
          <w:rFonts w:ascii="Times New Roman" w:eastAsia="Times New Roman" w:hAnsi="Times New Roman" w:cs="Times New Roman"/>
          <w:sz w:val="26"/>
          <w:szCs w:val="26"/>
        </w:rPr>
        <w:t>Người làm việc theo chế độ hợp đồng lao động trong các cơ quan, tổ chức, đơn vị của Đảng, Nhà nước, Mặt trận Tổ quốc Việt Nam, các tổ chức chính trị - xã hội và lực lượng vũ trang (quân đội, công an, cơ yếu).</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Quy định tại </w:t>
      </w:r>
      <w:hyperlink r:id="rId10" w:tgtFrame="_blank" w:history="1">
        <w:r w:rsidRPr="00B74AB3">
          <w:rPr>
            <w:rFonts w:ascii="Times New Roman" w:eastAsia="Times New Roman" w:hAnsi="Times New Roman" w:cs="Times New Roman"/>
            <w:bCs/>
            <w:sz w:val="26"/>
            <w:szCs w:val="26"/>
          </w:rPr>
          <w:t>Nghị định 111/2022/NĐ-CP</w:t>
        </w:r>
      </w:hyperlink>
      <w:r w:rsidRPr="00B74AB3">
        <w:rPr>
          <w:rFonts w:ascii="Times New Roman" w:eastAsia="Times New Roman" w:hAnsi="Times New Roman" w:cs="Times New Roman"/>
          <w:sz w:val="26"/>
          <w:szCs w:val="26"/>
        </w:rPr>
        <w:t> về hợp đồng đối với một số loại công việc trong cơ quan hành chính và đơn vị sự nghiệp công lập đang được xếp lương theo </w:t>
      </w:r>
      <w:hyperlink r:id="rId11" w:tgtFrame="_blank" w:history="1">
        <w:r w:rsidRPr="00B74AB3">
          <w:rPr>
            <w:rFonts w:ascii="Times New Roman" w:eastAsia="Times New Roman" w:hAnsi="Times New Roman" w:cs="Times New Roman"/>
            <w:bCs/>
            <w:sz w:val="26"/>
            <w:szCs w:val="26"/>
          </w:rPr>
          <w:t>Nghị định 204/2004/NĐ-CP</w:t>
        </w:r>
      </w:hyperlink>
      <w:r w:rsidRPr="00B74AB3">
        <w:rPr>
          <w:rFonts w:ascii="Times New Roman" w:eastAsia="Times New Roman" w:hAnsi="Times New Roman" w:cs="Times New Roman"/>
          <w:sz w:val="26"/>
          <w:szCs w:val="26"/>
        </w:rPr>
        <w:t> về chế độ tiền lương đối với cán bộ, công chức, viên chức và lực lượng vũ trang.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5:</w:t>
      </w:r>
      <w:r w:rsidRPr="00B74AB3">
        <w:rPr>
          <w:rFonts w:ascii="Times New Roman" w:eastAsia="Times New Roman" w:hAnsi="Times New Roman" w:cs="Times New Roman"/>
          <w:sz w:val="26"/>
          <w:szCs w:val="26"/>
        </w:rPr>
        <w:t> Người làm việc trong chỉ tiêu biên chế trong các hội được ngân sách nhà nước hỗ trợ kinh phí hoạt động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Quy định tại </w:t>
      </w:r>
      <w:hyperlink r:id="rId12" w:tgtFrame="_blank" w:history="1">
        <w:r w:rsidRPr="00B74AB3">
          <w:rPr>
            <w:rFonts w:ascii="Times New Roman" w:eastAsia="Times New Roman" w:hAnsi="Times New Roman" w:cs="Times New Roman"/>
            <w:bCs/>
            <w:sz w:val="26"/>
            <w:szCs w:val="26"/>
          </w:rPr>
          <w:t>Nghị định 45/2010/NĐ-CP</w:t>
        </w:r>
      </w:hyperlink>
      <w:r w:rsidRPr="00B74AB3">
        <w:rPr>
          <w:rFonts w:ascii="Times New Roman" w:eastAsia="Times New Roman" w:hAnsi="Times New Roman" w:cs="Times New Roman"/>
          <w:sz w:val="26"/>
          <w:szCs w:val="26"/>
        </w:rPr>
        <w:t> quy định về tổ chức, hoạt động và quản lý hội</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6:</w:t>
      </w:r>
      <w:r w:rsidRPr="00B74AB3">
        <w:rPr>
          <w:rFonts w:ascii="Times New Roman" w:eastAsia="Times New Roman" w:hAnsi="Times New Roman" w:cs="Times New Roman"/>
          <w:sz w:val="26"/>
          <w:szCs w:val="26"/>
        </w:rPr>
        <w:t> Sĩ quan, quân nhân chuyên nghiệp, hạ sĩ quan, binh sĩ và công nhân, viên chức quốc phòng thuộc Quân đội nhân dân Việt Nam.</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7:</w:t>
      </w:r>
      <w:r w:rsidRPr="00B74AB3">
        <w:rPr>
          <w:rFonts w:ascii="Times New Roman" w:eastAsia="Times New Roman" w:hAnsi="Times New Roman" w:cs="Times New Roman"/>
          <w:sz w:val="26"/>
          <w:szCs w:val="26"/>
        </w:rPr>
        <w:t> Sĩ quan, hạ sĩ quan hưởng lương, hạ sĩ quan, chiến sĩ nghĩa vụ, công nhân công an thuộc Công an nhân dân</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8:</w:t>
      </w:r>
      <w:r w:rsidRPr="00B74AB3">
        <w:rPr>
          <w:rFonts w:ascii="Times New Roman" w:eastAsia="Times New Roman" w:hAnsi="Times New Roman" w:cs="Times New Roman"/>
          <w:sz w:val="26"/>
          <w:szCs w:val="26"/>
        </w:rPr>
        <w:t> Người làm việc trong tổ chức cơ yếu.</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i/>
          <w:iCs/>
          <w:sz w:val="26"/>
          <w:szCs w:val="26"/>
        </w:rPr>
        <w:t>Nhóm 9:</w:t>
      </w:r>
      <w:r w:rsidRPr="00B74AB3">
        <w:rPr>
          <w:rFonts w:ascii="Times New Roman" w:eastAsia="Times New Roman" w:hAnsi="Times New Roman" w:cs="Times New Roman"/>
          <w:sz w:val="26"/>
          <w:szCs w:val="26"/>
        </w:rPr>
        <w:t> Người hoạt động không chuyên trách ở cấp xã, ở thôn và tổ dân phố.</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sz w:val="26"/>
          <w:szCs w:val="26"/>
        </w:rPr>
        <w:t>Bên cạnh đó, mức lương cơ sở dùng làm căn cứ</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lastRenderedPageBreak/>
        <w:t xml:space="preserve">- Tính mức lương trong các bảng lương, mức phụ cấp và thực hiện các chế độ khác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quy định của pháp luật đối với các đối tượng trên</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 Tính mức hoạt động phí, sinh hoạt phí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quy định của pháp luật</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 Tính các khoản trích và các chế độ được hưởng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mức lương cơ sở.</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bCs/>
          <w:sz w:val="26"/>
          <w:szCs w:val="26"/>
        </w:rPr>
        <w:t>Kinh phí thực hiện tăng lương cơ sở</w:t>
      </w:r>
    </w:p>
    <w:p w:rsidR="00A66613" w:rsidRPr="00B74AB3" w:rsidRDefault="00A66613" w:rsidP="00B74AB3">
      <w:pPr>
        <w:shd w:val="clear" w:color="auto" w:fill="FFFFFF"/>
        <w:spacing w:after="0" w:line="360" w:lineRule="auto"/>
        <w:jc w:val="both"/>
        <w:rPr>
          <w:rFonts w:ascii="Times New Roman" w:eastAsia="Times New Roman" w:hAnsi="Times New Roman" w:cs="Times New Roman"/>
          <w:bCs/>
          <w:i/>
          <w:iCs/>
          <w:sz w:val="26"/>
          <w:szCs w:val="26"/>
        </w:rPr>
      </w:pPr>
      <w:r w:rsidRPr="00B74AB3">
        <w:rPr>
          <w:rFonts w:ascii="Times New Roman" w:eastAsia="Times New Roman" w:hAnsi="Times New Roman" w:cs="Times New Roman"/>
          <w:bCs/>
          <w:i/>
          <w:iCs/>
          <w:sz w:val="26"/>
          <w:szCs w:val="26"/>
        </w:rPr>
        <w:t>(1) Đối với các cơ quan thuộc Chính phủ, cơ quan khác ở Trung ương: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Sử dụng nguồn tiết kiệm 10% chi thường xuyên (không kể các khoản chi tiền lương, phụ cấp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lương, các khoản có tính chất lương và các khoản chi cho con người theo chế độ) dự toán năm 2023 tăng thêm so với dự toán năm 2022 được cấp có thẩm quyền giao</w:t>
      </w:r>
    </w:p>
    <w:p w:rsidR="00A66613" w:rsidRPr="00B74AB3" w:rsidRDefault="00A66613" w:rsidP="00B74AB3">
      <w:pPr>
        <w:shd w:val="clear" w:color="auto" w:fill="FFFFFF"/>
        <w:spacing w:after="0" w:line="360" w:lineRule="auto"/>
        <w:jc w:val="both"/>
        <w:rPr>
          <w:rFonts w:ascii="Times New Roman" w:eastAsia="Times New Roman" w:hAnsi="Times New Roman" w:cs="Times New Roman"/>
          <w:bCs/>
          <w:i/>
          <w:iCs/>
          <w:sz w:val="26"/>
          <w:szCs w:val="26"/>
        </w:rPr>
      </w:pPr>
      <w:r w:rsidRPr="00B74AB3">
        <w:rPr>
          <w:rFonts w:ascii="Times New Roman" w:eastAsia="Times New Roman" w:hAnsi="Times New Roman" w:cs="Times New Roman"/>
          <w:sz w:val="26"/>
          <w:szCs w:val="26"/>
        </w:rPr>
        <w:t xml:space="preserve">Đồng thời, một phần nguồn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được để lại theo chế độ của cơ quan hành chính, đơn vị sự nghiệp công lập.</w:t>
      </w:r>
    </w:p>
    <w:p w:rsidR="00A66613" w:rsidRPr="00B74AB3" w:rsidRDefault="00A66613" w:rsidP="00B74AB3">
      <w:pPr>
        <w:shd w:val="clear" w:color="auto" w:fill="FFFFFF"/>
        <w:spacing w:after="0" w:line="360" w:lineRule="auto"/>
        <w:jc w:val="both"/>
        <w:rPr>
          <w:rFonts w:ascii="Times New Roman" w:eastAsia="Times New Roman" w:hAnsi="Times New Roman" w:cs="Times New Roman"/>
          <w:i/>
          <w:iCs/>
          <w:sz w:val="26"/>
          <w:szCs w:val="26"/>
        </w:rPr>
      </w:pPr>
      <w:r w:rsidRPr="00B74AB3">
        <w:rPr>
          <w:rFonts w:ascii="Times New Roman" w:eastAsia="Times New Roman" w:hAnsi="Times New Roman" w:cs="Times New Roman"/>
          <w:sz w:val="26"/>
          <w:szCs w:val="26"/>
        </w:rPr>
        <w:t>Ngoài ra, sử dụng nguồn thực hiện cải cách tiền lương năm 2022 chưa sử dụng hết chuyển sang (nếu có)</w:t>
      </w:r>
    </w:p>
    <w:p w:rsidR="00A66613" w:rsidRPr="00B74AB3" w:rsidRDefault="00A66613" w:rsidP="00B74AB3">
      <w:pPr>
        <w:shd w:val="clear" w:color="auto" w:fill="FFFFFF"/>
        <w:spacing w:after="0" w:line="360" w:lineRule="auto"/>
        <w:jc w:val="both"/>
        <w:rPr>
          <w:rFonts w:ascii="Times New Roman" w:eastAsia="Times New Roman" w:hAnsi="Times New Roman" w:cs="Times New Roman"/>
          <w:bCs/>
          <w:i/>
          <w:iCs/>
          <w:sz w:val="26"/>
          <w:szCs w:val="26"/>
        </w:rPr>
      </w:pPr>
      <w:r w:rsidRPr="00B74AB3">
        <w:rPr>
          <w:rFonts w:ascii="Times New Roman" w:eastAsia="Times New Roman" w:hAnsi="Times New Roman" w:cs="Times New Roman"/>
          <w:bCs/>
          <w:i/>
          <w:iCs/>
          <w:sz w:val="26"/>
          <w:szCs w:val="26"/>
        </w:rPr>
        <w:t>(2) Đối với các tỉnh, thành phố trực thuộc Trung ương: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Sử dụng 10% tiết kiệm chi thường xuyên (trừ các khoản tiền lương, phụ cấp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lương, khoản có tính chất lương và các khoản chi cho con người theo chế độ) dự toán năm 2023 tăng thêm so với dự toán năm 2022 được cấp có thẩm quyền giao</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Sử dụng 70% tăng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ngân sách địa phương năm 2022 thực hiện so với dự toán được Thủ tướng Chính phủ giao cụ thể như:</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 Không kể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tiền sử dụng đất, thu tiền thuê đất một lần được nhà đầu tư ứng trước để bồi thường, giải phóng mặt bằng, thu tiền bảo vệ và phát triển đất trồng lúa</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 Thu từ xử lý tài sản công tại cơ quan, tổ chức, đơn vị được cơ quan có thẩm quyền quyết định sử dụng để chi đầu tư </w:t>
      </w:r>
      <w:proofErr w:type="gramStart"/>
      <w:r w:rsidRPr="00B74AB3">
        <w:rPr>
          <w:rFonts w:ascii="Times New Roman" w:eastAsia="Times New Roman" w:hAnsi="Times New Roman" w:cs="Times New Roman"/>
          <w:sz w:val="26"/>
          <w:szCs w:val="26"/>
        </w:rPr>
        <w:t>theo</w:t>
      </w:r>
      <w:proofErr w:type="gramEnd"/>
      <w:r w:rsidRPr="00B74AB3">
        <w:rPr>
          <w:rFonts w:ascii="Times New Roman" w:eastAsia="Times New Roman" w:hAnsi="Times New Roman" w:cs="Times New Roman"/>
          <w:sz w:val="26"/>
          <w:szCs w:val="26"/>
        </w:rPr>
        <w:t xml:space="preserve"> quy định</w:t>
      </w:r>
    </w:p>
    <w:p w:rsidR="00A66613" w:rsidRPr="00B74AB3" w:rsidRDefault="00A66613" w:rsidP="00B74AB3">
      <w:pPr>
        <w:shd w:val="clear" w:color="auto" w:fill="FFFFFF"/>
        <w:spacing w:after="0" w:line="360" w:lineRule="auto"/>
        <w:jc w:val="both"/>
        <w:rPr>
          <w:rFonts w:ascii="Times New Roman" w:eastAsia="Times New Roman" w:hAnsi="Times New Roman" w:cs="Times New Roman"/>
          <w:bCs/>
          <w:i/>
          <w:iCs/>
          <w:sz w:val="26"/>
          <w:szCs w:val="26"/>
        </w:rPr>
      </w:pPr>
      <w:r w:rsidRPr="00B74AB3">
        <w:rPr>
          <w:rFonts w:ascii="Times New Roman" w:eastAsia="Times New Roman" w:hAnsi="Times New Roman" w:cs="Times New Roman"/>
          <w:sz w:val="26"/>
          <w:szCs w:val="26"/>
        </w:rPr>
        <w:t>- Xổ số kiến thiết; phí tham quan các khu di tích, di sản thế giới.</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Phí sử dụng công trình kết cấu hạ tầng, công trình dịch vụ, tiện ích công cộng trong khu vực cửa khẩu.</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Phí bảo vệ môi trường đối với khai thác khoáng sản</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Thu từ quỹ đất công ích,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hoa lợi, công sản tại xã và thu tiền cho thuê, cho thuê mua, bán nhà thuộc sở hữu nhà nước.</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Sử dụng nguồn thực hiện cải cách tiền lương năm 2022 chưa sử dụng hết chuyển sang.</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 xml:space="preserve">Sử dụng tối thiểu 40% số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được để lại theo chế độ năm 2023. Riêng đối với số </w:t>
      </w:r>
      <w:proofErr w:type="gramStart"/>
      <w:r w:rsidRPr="00B74AB3">
        <w:rPr>
          <w:rFonts w:ascii="Times New Roman" w:eastAsia="Times New Roman" w:hAnsi="Times New Roman" w:cs="Times New Roman"/>
          <w:sz w:val="26"/>
          <w:szCs w:val="26"/>
        </w:rPr>
        <w:t>thu</w:t>
      </w:r>
      <w:proofErr w:type="gramEnd"/>
      <w:r w:rsidRPr="00B74AB3">
        <w:rPr>
          <w:rFonts w:ascii="Times New Roman" w:eastAsia="Times New Roman" w:hAnsi="Times New Roman" w:cs="Times New Roman"/>
          <w:sz w:val="26"/>
          <w:szCs w:val="26"/>
        </w:rPr>
        <w:t xml:space="preserve"> từ việc cung cấp các dịch vụ khám bệnh, chữa bệnh, y tế dự phòng và dịch vụ y tế khác của cơ sở y tế công lập sử dụng tối thiểu 35%.</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lastRenderedPageBreak/>
        <w:t xml:space="preserve">Phạm </w:t>
      </w:r>
      <w:proofErr w:type="gramStart"/>
      <w:r w:rsidRPr="00B74AB3">
        <w:rPr>
          <w:rFonts w:ascii="Times New Roman" w:eastAsia="Times New Roman" w:hAnsi="Times New Roman" w:cs="Times New Roman"/>
          <w:sz w:val="26"/>
          <w:szCs w:val="26"/>
        </w:rPr>
        <w:t>vi</w:t>
      </w:r>
      <w:proofErr w:type="gramEnd"/>
      <w:r w:rsidRPr="00B74AB3">
        <w:rPr>
          <w:rFonts w:ascii="Times New Roman" w:eastAsia="Times New Roman" w:hAnsi="Times New Roman" w:cs="Times New Roman"/>
          <w:sz w:val="26"/>
          <w:szCs w:val="26"/>
        </w:rPr>
        <w:t xml:space="preserve"> trích số thu được để lại được thực hiện theo hướng dẫn của Bộ Tài chính về nhu cầu và nguồn thực hiện cải cách tiền lương năm 2023.</w:t>
      </w:r>
    </w:p>
    <w:p w:rsidR="00A66613" w:rsidRPr="00B74AB3" w:rsidRDefault="00A66613" w:rsidP="00B74AB3">
      <w:pPr>
        <w:shd w:val="clear" w:color="auto" w:fill="FFFFFF"/>
        <w:spacing w:after="0" w:line="360" w:lineRule="auto"/>
        <w:jc w:val="both"/>
        <w:rPr>
          <w:rFonts w:ascii="Times New Roman" w:eastAsia="Times New Roman" w:hAnsi="Times New Roman" w:cs="Times New Roman"/>
          <w:sz w:val="26"/>
          <w:szCs w:val="26"/>
        </w:rPr>
      </w:pPr>
      <w:r w:rsidRPr="00B74AB3">
        <w:rPr>
          <w:rFonts w:ascii="Times New Roman" w:eastAsia="Times New Roman" w:hAnsi="Times New Roman" w:cs="Times New Roman"/>
          <w:sz w:val="26"/>
          <w:szCs w:val="26"/>
        </w:rPr>
        <w:t>Ngân sách trung ương bổ sung nguồn kinh phí còn thiếu do điều chỉnh mức lương cơ sở năm 2023 cho các bộ, cơ quan ngang bộ, cơ quan thuộc Chính phủ, cơ quan khác ở Trung ương và các tỉnh, thành phố trực thuộc Trung ương sau khi đã thực hiện các quy định tại khoản 1 và khoản 2 Điều 4 dự thảo Nghị</w:t>
      </w:r>
    </w:p>
    <w:p w:rsidR="005062D1" w:rsidRPr="00B74AB3" w:rsidRDefault="005062D1" w:rsidP="00B74AB3">
      <w:pPr>
        <w:spacing w:after="0" w:line="360" w:lineRule="auto"/>
        <w:jc w:val="both"/>
        <w:rPr>
          <w:rFonts w:ascii="Times New Roman" w:hAnsi="Times New Roman" w:cs="Times New Roman"/>
          <w:sz w:val="26"/>
          <w:szCs w:val="26"/>
        </w:rPr>
      </w:pPr>
    </w:p>
    <w:sectPr w:rsidR="005062D1" w:rsidRPr="00B74AB3" w:rsidSect="00B74A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13"/>
    <w:rsid w:val="00097DC1"/>
    <w:rsid w:val="005062D1"/>
    <w:rsid w:val="00A66613"/>
    <w:rsid w:val="00B74AB3"/>
    <w:rsid w:val="00E021FE"/>
    <w:rsid w:val="00E9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C3B6C-9114-4FA1-9F61-FDBF2186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7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97D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A666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613"/>
    <w:rPr>
      <w:b/>
      <w:bCs/>
    </w:rPr>
  </w:style>
  <w:style w:type="character" w:styleId="Hyperlink">
    <w:name w:val="Hyperlink"/>
    <w:basedOn w:val="DefaultParagraphFont"/>
    <w:uiPriority w:val="99"/>
    <w:semiHidden/>
    <w:unhideWhenUsed/>
    <w:rsid w:val="00A66613"/>
    <w:rPr>
      <w:color w:val="0000FF"/>
      <w:u w:val="single"/>
    </w:rPr>
  </w:style>
  <w:style w:type="character" w:styleId="Emphasis">
    <w:name w:val="Emphasis"/>
    <w:basedOn w:val="DefaultParagraphFont"/>
    <w:uiPriority w:val="20"/>
    <w:qFormat/>
    <w:rsid w:val="00A66613"/>
    <w:rPr>
      <w:i/>
      <w:iCs/>
    </w:rPr>
  </w:style>
  <w:style w:type="paragraph" w:styleId="ListParagraph">
    <w:name w:val="List Paragraph"/>
    <w:basedOn w:val="Normal"/>
    <w:uiPriority w:val="34"/>
    <w:qFormat/>
    <w:rsid w:val="00A66613"/>
    <w:pPr>
      <w:ind w:left="720"/>
      <w:contextualSpacing/>
    </w:pPr>
  </w:style>
  <w:style w:type="character" w:customStyle="1" w:styleId="Heading4Char">
    <w:name w:val="Heading 4 Char"/>
    <w:basedOn w:val="DefaultParagraphFont"/>
    <w:link w:val="Heading4"/>
    <w:uiPriority w:val="9"/>
    <w:rsid w:val="00097DC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97D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97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75743">
      <w:bodyDiv w:val="1"/>
      <w:marLeft w:val="0"/>
      <w:marRight w:val="0"/>
      <w:marTop w:val="0"/>
      <w:marBottom w:val="0"/>
      <w:divBdr>
        <w:top w:val="none" w:sz="0" w:space="0" w:color="auto"/>
        <w:left w:val="none" w:sz="0" w:space="0" w:color="auto"/>
        <w:bottom w:val="none" w:sz="0" w:space="0" w:color="auto"/>
        <w:right w:val="none" w:sz="0" w:space="0" w:color="auto"/>
      </w:divBdr>
    </w:div>
    <w:div w:id="911042030">
      <w:bodyDiv w:val="1"/>
      <w:marLeft w:val="0"/>
      <w:marRight w:val="0"/>
      <w:marTop w:val="0"/>
      <w:marBottom w:val="0"/>
      <w:divBdr>
        <w:top w:val="none" w:sz="0" w:space="0" w:color="auto"/>
        <w:left w:val="none" w:sz="0" w:space="0" w:color="auto"/>
        <w:bottom w:val="none" w:sz="0" w:space="0" w:color="auto"/>
        <w:right w:val="none" w:sz="0" w:space="0" w:color="auto"/>
      </w:divBdr>
    </w:div>
    <w:div w:id="997535138">
      <w:bodyDiv w:val="1"/>
      <w:marLeft w:val="0"/>
      <w:marRight w:val="0"/>
      <w:marTop w:val="0"/>
      <w:marBottom w:val="0"/>
      <w:divBdr>
        <w:top w:val="none" w:sz="0" w:space="0" w:color="auto"/>
        <w:left w:val="none" w:sz="0" w:space="0" w:color="auto"/>
        <w:bottom w:val="none" w:sz="0" w:space="0" w:color="auto"/>
        <w:right w:val="none" w:sz="0" w:space="0" w:color="auto"/>
      </w:divBdr>
    </w:div>
    <w:div w:id="18371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vien-chuc-2010-115271.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Bo-may-hanh-chinh/Luat-can-bo-cong-chuc-va-luat-vien-chuc-sua-doi-2019-405729.aspx" TargetMode="External"/><Relationship Id="rId12" Type="http://schemas.openxmlformats.org/officeDocument/2006/relationships/hyperlink" Target="https://thuvienphapluat.vn/van-ban/Quyen-dan-su/Nghi-dinh-45-2010-ND-CP-to-chuc-hoat-dong-quan-ly-hoi-10456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can-bo-cong-chuc-2008-22-2008-QH12-82202.aspx" TargetMode="Externa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hyperlink" Target="https://thuvienphapluat.vn/van-ban/Bo-may-hanh-chinh/Luat-can-bo-cong-chuc-va-luat-vien-chuc-sua-doi-2019-405729.aspx" TargetMode="External"/><Relationship Id="rId10" Type="http://schemas.openxmlformats.org/officeDocument/2006/relationships/hyperlink" Target="https://thuvienphapluat.vn/van-ban/Bo-may-hanh-chinh/Nghi-dinh-111-2022-ND-CP-hop-dong-mot-so-loai-cong-viec-trong-co-quan-hanh-chinh-510071.aspx" TargetMode="External"/><Relationship Id="rId4" Type="http://schemas.openxmlformats.org/officeDocument/2006/relationships/hyperlink" Target="https://thuvienphapluat.vn/van-ban/Bo-may-hanh-chinh/Luat-can-bo-cong-chuc-2008-22-2008-QH12-82202.aspx" TargetMode="External"/><Relationship Id="rId9" Type="http://schemas.openxmlformats.org/officeDocument/2006/relationships/hyperlink" Target="https://thuvienphapluat.vn/van-ban/Bo-may-hanh-chinh/Luat-can-bo-cong-chuc-va-luat-vien-chuc-sua-doi-2019-4057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2023-02-26T09:57:00Z</dcterms:created>
  <dcterms:modified xsi:type="dcterms:W3CDTF">2023-03-16T09:11:00Z</dcterms:modified>
</cp:coreProperties>
</file>