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5318" w14:textId="0F17A0B9" w:rsidR="00243A38" w:rsidRDefault="00BD5667" w:rsidP="00BD5667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Kinh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nghiệm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áp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dụng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chuẩn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mực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báo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cáo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tài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chính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quốc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tế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cho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doanh</w:t>
      </w:r>
      <w:proofErr w:type="spellEnd"/>
      <w:r w:rsidRPr="00BD5667">
        <w:rPr>
          <w:b/>
          <w:bCs/>
          <w:color w:val="000000"/>
          <w:sz w:val="26"/>
          <w:szCs w:val="26"/>
        </w:rPr>
        <w:br/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nghiệp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nhỏ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vừa</w:t>
      </w:r>
      <w:proofErr w:type="spellEnd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Mỹ</w:t>
      </w:r>
      <w:proofErr w:type="spellEnd"/>
    </w:p>
    <w:p w14:paraId="587527C5" w14:textId="77777777" w:rsidR="00A5314F" w:rsidRDefault="00BD5667" w:rsidP="00994D9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BD5667">
        <w:rPr>
          <w:rFonts w:ascii="Times New Roman" w:hAnsi="Times New Roman"/>
          <w:color w:val="000000"/>
          <w:sz w:val="26"/>
          <w:szCs w:val="26"/>
        </w:rPr>
        <w:t xml:space="preserve">Các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nghiên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cứu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thế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giới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cận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cáo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tế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994D9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nhiều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từ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ủng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hộ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hay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phản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hưởng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, qua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bức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tranh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khá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toàn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nhiều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mảng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màu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nhau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cáo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tế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BD5667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427AD5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6"/>
          <w:szCs w:val="26"/>
        </w:rPr>
        <w:t>vừa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. Trong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giới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hạn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viết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giả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cập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áp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báo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cáo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tế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nhgieepj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vừa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Mỹ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Đây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xem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là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tảng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nghiên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cứu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ứng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chuẩn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nghiệp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nhỏ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6"/>
          <w:szCs w:val="26"/>
        </w:rPr>
        <w:t>vừa</w:t>
      </w:r>
      <w:proofErr w:type="spellEnd"/>
      <w:r w:rsidR="00A5314F">
        <w:rPr>
          <w:rFonts w:ascii="Times New Roman" w:hAnsi="Times New Roman"/>
          <w:color w:val="000000"/>
          <w:sz w:val="26"/>
          <w:szCs w:val="26"/>
        </w:rPr>
        <w:t xml:space="preserve"> Việt Nam.</w:t>
      </w:r>
    </w:p>
    <w:p w14:paraId="0E4B5308" w14:textId="0A7B54F3" w:rsidR="00994D90" w:rsidRDefault="00BD5667" w:rsidP="00994D9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D5667">
        <w:rPr>
          <w:rFonts w:ascii="Times New Roman" w:hAnsi="Times New Roman"/>
          <w:color w:val="000000"/>
          <w:sz w:val="24"/>
          <w:szCs w:val="24"/>
        </w:rPr>
        <w:t xml:space="preserve">Các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chưa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niêm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ở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bắt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phải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tuân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thủ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A5314F">
        <w:rPr>
          <w:rFonts w:ascii="Times New Roman" w:hAnsi="Times New Roman"/>
          <w:color w:val="000000"/>
          <w:sz w:val="24"/>
          <w:szCs w:val="24"/>
        </w:rPr>
        <w:t>.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4"/>
          <w:szCs w:val="24"/>
        </w:rPr>
        <w:t>C</w:t>
      </w:r>
      <w:r w:rsidR="00427AD5">
        <w:rPr>
          <w:rFonts w:ascii="Times New Roman" w:hAnsi="Times New Roman"/>
          <w:color w:val="000000"/>
          <w:sz w:val="24"/>
          <w:szCs w:val="24"/>
        </w:rPr>
        <w:t>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chủ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yếu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áp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niêm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1E7809">
        <w:rPr>
          <w:rFonts w:ascii="Times New Roman" w:hAnsi="Times New Roman"/>
          <w:color w:val="000000"/>
          <w:sz w:val="24"/>
          <w:szCs w:val="24"/>
        </w:rPr>
        <w:t xml:space="preserve">Petra Klink, 2016). </w:t>
      </w:r>
      <w:proofErr w:type="spellStart"/>
      <w:r w:rsidR="00A5314F" w:rsidRPr="001E7809">
        <w:rPr>
          <w:rFonts w:ascii="Times New Roman" w:hAnsi="Times New Roman"/>
          <w:color w:val="000000"/>
          <w:sz w:val="24"/>
          <w:szCs w:val="24"/>
        </w:rPr>
        <w:t>C</w:t>
      </w:r>
      <w:r w:rsidR="00CA0257" w:rsidRPr="001E7809">
        <w:rPr>
          <w:rFonts w:ascii="Times New Roman" w:hAnsi="Times New Roman"/>
          <w:color w:val="000000"/>
          <w:sz w:val="24"/>
          <w:szCs w:val="24"/>
        </w:rPr>
        <w:t>huẩn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nhau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ở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những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vấn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đề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gây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ra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nhiều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tranh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luận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bắt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đầu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giữa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những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giữa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1970.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1974,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viên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chứng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đã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Báo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thảo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luận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niêm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. Theo ý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kiến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viên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Hiệp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viên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="00427AD5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 w:rsidRPr="00BD5667">
        <w:rPr>
          <w:rFonts w:ascii="Times New Roman" w:hAnsi="Times New Roman"/>
          <w:color w:val="000000"/>
          <w:sz w:val="24"/>
          <w:szCs w:val="24"/>
        </w:rPr>
        <w:t>chứng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này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quá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phức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tạp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tốn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nhiều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chi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phí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thiết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nhưng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lại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thỏa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mãn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người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sử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(Petra Klink, 2016).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Từ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1983,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Hoa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kỳ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đã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xúc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tiến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xây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dựng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A5314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314F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1983,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thư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mời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đóng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góp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ý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kiến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niêm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qui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mô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sau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đó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Ủy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ban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Tư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vấn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kinh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qui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mô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nhằm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hút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nhiều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sự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tham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qui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mô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tiêu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bày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(Petra Klink,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2016).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1996,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rằng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yêu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ví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dụ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như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lý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cụ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nên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áp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126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Miễn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yêu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niêm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>” (</w:t>
      </w:r>
      <w:r w:rsidRPr="001E7809">
        <w:rPr>
          <w:rFonts w:ascii="Times New Roman" w:hAnsi="Times New Roman"/>
          <w:color w:val="000000"/>
          <w:sz w:val="24"/>
          <w:szCs w:val="24"/>
        </w:rPr>
        <w:t>Devi, 2003).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 Các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tiêu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này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xác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: (1)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phải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trách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nhiệm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giải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khai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(2)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tổng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sản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ít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100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triệu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USD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cuối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(3)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nắm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giữ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hay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phát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bất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kỳ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cụ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nào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(Petra Klink, 2016).</w:t>
      </w:r>
    </w:p>
    <w:p w14:paraId="1715DDB9" w14:textId="77777777" w:rsidR="001E7809" w:rsidRDefault="00BD5667" w:rsidP="00994D9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D5667">
        <w:rPr>
          <w:rFonts w:ascii="Times New Roman" w:hAnsi="Times New Roman"/>
          <w:color w:val="000000"/>
          <w:sz w:val="24"/>
          <w:szCs w:val="24"/>
        </w:rPr>
        <w:lastRenderedPageBreak/>
        <w:t xml:space="preserve">Khi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quốc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được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Ủy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ban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nghiên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cứu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đánh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cao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quốc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vì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sự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giản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dễ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hiểu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đối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yêu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lường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bộ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này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. Tuy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nhiên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>,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Ủy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ban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nghiên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cứu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cũng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rằng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quốc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tế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thiếu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hướng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dẫn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chi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tiết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trường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điều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này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thể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dẫn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sẽ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dựa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nhiều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lựa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chọn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sách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áp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2012,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quản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một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chức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mới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gọi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nghĩa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giống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như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cải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thiện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quá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thiết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lập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Hiệp</w:t>
      </w:r>
      <w:proofErr w:type="spellEnd"/>
      <w:r w:rsidR="004B3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="004B3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B3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="004B3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viên</w:t>
      </w:r>
      <w:proofErr w:type="spellEnd"/>
      <w:r w:rsidR="004B3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="004B38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879">
        <w:rPr>
          <w:rFonts w:ascii="Times New Roman" w:hAnsi="Times New Roman"/>
          <w:color w:val="000000"/>
          <w:sz w:val="24"/>
          <w:szCs w:val="24"/>
        </w:rPr>
        <w:t>chứng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đã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hỗ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trợ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PCC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bố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hoạch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xây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dựng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Cơ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sở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khác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toàn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diện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khuôn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khổ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r w:rsidRPr="00BD5667">
        <w:rPr>
          <w:rFonts w:ascii="Times New Roman" w:hAnsi="Times New Roman"/>
          <w:color w:val="000000"/>
          <w:sz w:val="24"/>
          <w:szCs w:val="24"/>
        </w:rPr>
        <w:t>mà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phải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đáp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ứng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cầu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quy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mô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>(Petra Klink, 2016).</w:t>
      </w:r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thời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điểm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nay,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kế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toán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 w:rsidRPr="00BD5667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CA0257"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cùng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Hội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đồng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vẫn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đang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tìm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kiếm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ý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kiến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xây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dựng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khuôn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khổ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lý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thuyết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hợp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với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BB44A35" w14:textId="0B5A0246" w:rsidR="00BD5667" w:rsidRDefault="00BD5667" w:rsidP="00994D9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BD5667">
        <w:rPr>
          <w:rFonts w:ascii="Times New Roman" w:hAnsi="Times New Roman"/>
          <w:color w:val="000000"/>
          <w:sz w:val="24"/>
          <w:szCs w:val="24"/>
        </w:rPr>
        <w:t xml:space="preserve">Như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vậy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Mỹ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vẫn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chưa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có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D5667">
        <w:rPr>
          <w:rFonts w:ascii="Times New Roman" w:hAnsi="Times New Roman"/>
          <w:color w:val="000000"/>
          <w:sz w:val="24"/>
          <w:szCs w:val="24"/>
        </w:rPr>
        <w:t xml:space="preserve">ý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gì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áp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dụng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quốc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tế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doanh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nghiệp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nhỏ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427A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27AD5">
        <w:rPr>
          <w:rFonts w:ascii="Times New Roman" w:hAnsi="Times New Roman"/>
          <w:color w:val="000000"/>
          <w:sz w:val="24"/>
          <w:szCs w:val="24"/>
        </w:rPr>
        <w:t>vừa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mà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đang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trong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giai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đoạn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tiến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hành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xây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dựng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chuẩn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A0257">
        <w:rPr>
          <w:rFonts w:ascii="Times New Roman" w:hAnsi="Times New Roman"/>
          <w:color w:val="000000"/>
          <w:sz w:val="24"/>
          <w:szCs w:val="24"/>
        </w:rPr>
        <w:t>mực</w:t>
      </w:r>
      <w:proofErr w:type="spellEnd"/>
      <w:r w:rsidR="00CA0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báo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cáo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tài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94D90">
        <w:rPr>
          <w:rFonts w:ascii="Times New Roman" w:hAnsi="Times New Roman"/>
          <w:color w:val="000000"/>
          <w:sz w:val="24"/>
          <w:szCs w:val="24"/>
        </w:rPr>
        <w:t>chính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riêng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ty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cổ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phần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trực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E7809">
        <w:rPr>
          <w:rFonts w:ascii="Times New Roman" w:hAnsi="Times New Roman"/>
          <w:color w:val="000000"/>
          <w:sz w:val="24"/>
          <w:szCs w:val="24"/>
        </w:rPr>
        <w:t>thuộc</w:t>
      </w:r>
      <w:proofErr w:type="spellEnd"/>
      <w:r w:rsidR="001E780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quốc</w:t>
      </w:r>
      <w:proofErr w:type="spellEnd"/>
      <w:r w:rsidRPr="00BD56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D5667">
        <w:rPr>
          <w:rFonts w:ascii="Times New Roman" w:hAnsi="Times New Roman"/>
          <w:color w:val="000000"/>
          <w:sz w:val="24"/>
          <w:szCs w:val="24"/>
        </w:rPr>
        <w:t>gia</w:t>
      </w:r>
      <w:proofErr w:type="spellEnd"/>
      <w:r w:rsidR="00994D90">
        <w:rPr>
          <w:rFonts w:ascii="Times New Roman" w:hAnsi="Times New Roman"/>
          <w:color w:val="000000"/>
          <w:sz w:val="24"/>
          <w:szCs w:val="24"/>
        </w:rPr>
        <w:t>.</w:t>
      </w:r>
    </w:p>
    <w:p w14:paraId="7D81AD07" w14:textId="77777777" w:rsidR="00994D90" w:rsidRDefault="00994D90" w:rsidP="00994D90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6F430D" w14:textId="10F4706F" w:rsidR="00994D90" w:rsidRPr="00994D90" w:rsidRDefault="00994D90" w:rsidP="00BD566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4D90">
        <w:rPr>
          <w:rFonts w:ascii="Times New Roman" w:hAnsi="Times New Roman"/>
          <w:b/>
          <w:bCs/>
          <w:color w:val="000000"/>
          <w:sz w:val="24"/>
          <w:szCs w:val="24"/>
        </w:rPr>
        <w:t>TÀI LIỆU THAM KHẢO</w:t>
      </w:r>
    </w:p>
    <w:p w14:paraId="5C820657" w14:textId="4D285D29" w:rsidR="00C63299" w:rsidRDefault="001E7809" w:rsidP="00C6329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C63299" w:rsidRPr="00C63299">
        <w:rPr>
          <w:rFonts w:ascii="Times New Roman" w:hAnsi="Times New Roman"/>
          <w:color w:val="000000"/>
          <w:sz w:val="26"/>
          <w:szCs w:val="26"/>
        </w:rPr>
        <w:t xml:space="preserve">Devi, S. S., (2003). “A Framework for Differential Reporting: </w:t>
      </w:r>
      <w:proofErr w:type="gramStart"/>
      <w:r w:rsidR="00C63299" w:rsidRPr="00C63299">
        <w:rPr>
          <w:rFonts w:ascii="Times New Roman" w:hAnsi="Times New Roman"/>
          <w:color w:val="000000"/>
          <w:sz w:val="26"/>
          <w:szCs w:val="26"/>
        </w:rPr>
        <w:t>a</w:t>
      </w:r>
      <w:proofErr w:type="gramEnd"/>
      <w:r w:rsidR="00C63299" w:rsidRPr="00C63299">
        <w:rPr>
          <w:rFonts w:ascii="Times New Roman" w:hAnsi="Times New Roman"/>
          <w:color w:val="000000"/>
          <w:sz w:val="26"/>
          <w:szCs w:val="26"/>
        </w:rPr>
        <w:t xml:space="preserve"> Response to ISAR'S.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63299" w:rsidRPr="00C63299">
        <w:rPr>
          <w:rFonts w:ascii="Times New Roman" w:hAnsi="Times New Roman"/>
          <w:color w:val="000000"/>
          <w:sz w:val="26"/>
          <w:szCs w:val="26"/>
        </w:rPr>
        <w:t>Accounting and Financial Reporting Guidelines for Small and Medium sized</w:t>
      </w:r>
      <w:r w:rsidR="00C63299" w:rsidRPr="00C63299">
        <w:rPr>
          <w:rFonts w:ascii="Times New Roman" w:hAnsi="Times New Roman"/>
          <w:color w:val="000000"/>
          <w:sz w:val="26"/>
          <w:szCs w:val="26"/>
        </w:rPr>
        <w:br/>
        <w:t xml:space="preserve">enterprises”. Kuala Lumpur: </w:t>
      </w:r>
      <w:r w:rsidR="00C63299" w:rsidRPr="00C63299">
        <w:rPr>
          <w:rFonts w:ascii="Times New Roman" w:hAnsi="Times New Roman"/>
          <w:i/>
          <w:iCs/>
          <w:color w:val="000000"/>
          <w:sz w:val="26"/>
          <w:szCs w:val="26"/>
        </w:rPr>
        <w:t>Confederation of Asian and Pacific Accountants</w:t>
      </w:r>
      <w:r w:rsidR="00C63299" w:rsidRPr="00C63299">
        <w:rPr>
          <w:rFonts w:ascii="Times New Roman" w:hAnsi="Times New Roman"/>
          <w:i/>
          <w:iCs/>
          <w:color w:val="000000"/>
          <w:sz w:val="26"/>
          <w:szCs w:val="26"/>
        </w:rPr>
        <w:br/>
        <w:t>(CAPA</w:t>
      </w:r>
      <w:proofErr w:type="gramStart"/>
      <w:r w:rsidR="00C63299" w:rsidRPr="00C63299">
        <w:rPr>
          <w:rFonts w:ascii="Times New Roman" w:hAnsi="Times New Roman"/>
          <w:i/>
          <w:iCs/>
          <w:color w:val="000000"/>
          <w:sz w:val="26"/>
          <w:szCs w:val="26"/>
        </w:rPr>
        <w:t>)</w:t>
      </w:r>
      <w:r w:rsidR="00C63299" w:rsidRPr="00C63299">
        <w:rPr>
          <w:rFonts w:ascii="Times New Roman" w:hAnsi="Times New Roman"/>
          <w:color w:val="000000"/>
          <w:sz w:val="26"/>
          <w:szCs w:val="26"/>
        </w:rPr>
        <w:t>.http://www.capa.com.my/images/capa/Cover,%20Preface,%20Forward,%20Executive%20Summary,%20Table%20of%20Contents.pdf</w:t>
      </w:r>
      <w:proofErr w:type="gramEnd"/>
      <w:r w:rsidR="00C63299" w:rsidRPr="00C63299">
        <w:rPr>
          <w:rFonts w:ascii="Times New Roman" w:hAnsi="Times New Roman"/>
          <w:color w:val="000000"/>
          <w:sz w:val="26"/>
          <w:szCs w:val="26"/>
        </w:rPr>
        <w:t>. [Accessed 23 Jun 2017]</w:t>
      </w:r>
    </w:p>
    <w:p w14:paraId="3EBE944D" w14:textId="037327FA" w:rsidR="008C514D" w:rsidRPr="008C514D" w:rsidRDefault="001E7809" w:rsidP="008C5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8C514D" w:rsidRPr="008C514D">
        <w:rPr>
          <w:rFonts w:ascii="Times New Roman" w:hAnsi="Times New Roman"/>
          <w:color w:val="000000"/>
          <w:sz w:val="26"/>
          <w:szCs w:val="26"/>
        </w:rPr>
        <w:t>Petra Klink (2016). “The international financial reporting standard for small and</w:t>
      </w:r>
      <w:r w:rsidR="008C514D" w:rsidRPr="008C514D">
        <w:rPr>
          <w:rFonts w:ascii="Times New Roman" w:hAnsi="Times New Roman"/>
          <w:color w:val="000000"/>
          <w:sz w:val="26"/>
          <w:szCs w:val="26"/>
        </w:rPr>
        <w:br/>
        <w:t>medium-sized entities: the need and form of a third-tier financial reporting</w:t>
      </w:r>
      <w:r w:rsidR="008C514D" w:rsidRPr="008C514D">
        <w:rPr>
          <w:rFonts w:ascii="Times New Roman" w:hAnsi="Times New Roman"/>
          <w:color w:val="000000"/>
          <w:sz w:val="26"/>
          <w:szCs w:val="26"/>
        </w:rPr>
        <w:br/>
        <w:t xml:space="preserve">standard in Namibia”. </w:t>
      </w:r>
      <w:r w:rsidR="008C514D" w:rsidRPr="008C514D">
        <w:rPr>
          <w:rFonts w:ascii="Times New Roman" w:hAnsi="Times New Roman"/>
          <w:i/>
          <w:iCs/>
          <w:color w:val="000000"/>
          <w:sz w:val="26"/>
          <w:szCs w:val="26"/>
        </w:rPr>
        <w:t>The PhD thesis</w:t>
      </w:r>
      <w:r w:rsidR="008C514D" w:rsidRPr="008C514D">
        <w:rPr>
          <w:rFonts w:ascii="Times New Roman" w:hAnsi="Times New Roman"/>
          <w:color w:val="000000"/>
          <w:sz w:val="26"/>
          <w:szCs w:val="26"/>
        </w:rPr>
        <w:t>, 27 May 2016</w:t>
      </w:r>
    </w:p>
    <w:p w14:paraId="5FE4CE23" w14:textId="67C505DB" w:rsidR="00C63299" w:rsidRDefault="00C63299" w:rsidP="00BD566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63299" w:rsidSect="00682FFB">
      <w:pgSz w:w="11906" w:h="16838" w:code="9"/>
      <w:pgMar w:top="1440" w:right="17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bKwNDCzNDU3NzJS0lEKTi0uzszPAykwqgUAZiOQyywAAAA="/>
  </w:docVars>
  <w:rsids>
    <w:rsidRoot w:val="005B3400"/>
    <w:rsid w:val="000021F1"/>
    <w:rsid w:val="000031A5"/>
    <w:rsid w:val="00022634"/>
    <w:rsid w:val="00024A95"/>
    <w:rsid w:val="00032B56"/>
    <w:rsid w:val="0004243B"/>
    <w:rsid w:val="000507F2"/>
    <w:rsid w:val="000530CE"/>
    <w:rsid w:val="000616BD"/>
    <w:rsid w:val="0007087F"/>
    <w:rsid w:val="00071088"/>
    <w:rsid w:val="00072DFC"/>
    <w:rsid w:val="000972CB"/>
    <w:rsid w:val="00097A02"/>
    <w:rsid w:val="000A3C57"/>
    <w:rsid w:val="000A3FE2"/>
    <w:rsid w:val="000B250A"/>
    <w:rsid w:val="000C5DD8"/>
    <w:rsid w:val="000D36C9"/>
    <w:rsid w:val="000E33BA"/>
    <w:rsid w:val="0010112C"/>
    <w:rsid w:val="00101233"/>
    <w:rsid w:val="00114467"/>
    <w:rsid w:val="0014711E"/>
    <w:rsid w:val="00186C9B"/>
    <w:rsid w:val="00191B07"/>
    <w:rsid w:val="0019311C"/>
    <w:rsid w:val="001934CC"/>
    <w:rsid w:val="001948DB"/>
    <w:rsid w:val="001B2D6A"/>
    <w:rsid w:val="001C21DD"/>
    <w:rsid w:val="001D6976"/>
    <w:rsid w:val="001E29F0"/>
    <w:rsid w:val="001E7809"/>
    <w:rsid w:val="001F174F"/>
    <w:rsid w:val="002149EA"/>
    <w:rsid w:val="00216952"/>
    <w:rsid w:val="00242392"/>
    <w:rsid w:val="00243A38"/>
    <w:rsid w:val="0024634A"/>
    <w:rsid w:val="00280A07"/>
    <w:rsid w:val="002811BA"/>
    <w:rsid w:val="0028470C"/>
    <w:rsid w:val="002A0ECB"/>
    <w:rsid w:val="002A3111"/>
    <w:rsid w:val="002A7A71"/>
    <w:rsid w:val="002B2ACC"/>
    <w:rsid w:val="002B6B11"/>
    <w:rsid w:val="002B6C62"/>
    <w:rsid w:val="002C5CE9"/>
    <w:rsid w:val="002D4070"/>
    <w:rsid w:val="002D6E12"/>
    <w:rsid w:val="002E1EA5"/>
    <w:rsid w:val="002F7005"/>
    <w:rsid w:val="00300747"/>
    <w:rsid w:val="003020CE"/>
    <w:rsid w:val="00304F47"/>
    <w:rsid w:val="00306421"/>
    <w:rsid w:val="0032299F"/>
    <w:rsid w:val="00330C29"/>
    <w:rsid w:val="00341593"/>
    <w:rsid w:val="00346E2D"/>
    <w:rsid w:val="00354627"/>
    <w:rsid w:val="00365692"/>
    <w:rsid w:val="00366AF0"/>
    <w:rsid w:val="00367E1B"/>
    <w:rsid w:val="00377855"/>
    <w:rsid w:val="0038153F"/>
    <w:rsid w:val="00391CDA"/>
    <w:rsid w:val="003B0197"/>
    <w:rsid w:val="003B060B"/>
    <w:rsid w:val="003B227F"/>
    <w:rsid w:val="003F1E3A"/>
    <w:rsid w:val="00402717"/>
    <w:rsid w:val="00427AD5"/>
    <w:rsid w:val="004430C2"/>
    <w:rsid w:val="004579C9"/>
    <w:rsid w:val="00476B74"/>
    <w:rsid w:val="00491739"/>
    <w:rsid w:val="00497E87"/>
    <w:rsid w:val="004B34D6"/>
    <w:rsid w:val="004B3879"/>
    <w:rsid w:val="004B3FDA"/>
    <w:rsid w:val="004B5528"/>
    <w:rsid w:val="004E5CC5"/>
    <w:rsid w:val="004E7307"/>
    <w:rsid w:val="004F0EF2"/>
    <w:rsid w:val="00537405"/>
    <w:rsid w:val="00541777"/>
    <w:rsid w:val="00545913"/>
    <w:rsid w:val="00546843"/>
    <w:rsid w:val="00546DA0"/>
    <w:rsid w:val="005540C9"/>
    <w:rsid w:val="00572621"/>
    <w:rsid w:val="00575831"/>
    <w:rsid w:val="005829D3"/>
    <w:rsid w:val="005B3400"/>
    <w:rsid w:val="005B4A57"/>
    <w:rsid w:val="005B54A2"/>
    <w:rsid w:val="005F4D5B"/>
    <w:rsid w:val="00600C8B"/>
    <w:rsid w:val="00607B59"/>
    <w:rsid w:val="00607D11"/>
    <w:rsid w:val="00622224"/>
    <w:rsid w:val="00626FD5"/>
    <w:rsid w:val="00634A86"/>
    <w:rsid w:val="00640328"/>
    <w:rsid w:val="00682FFB"/>
    <w:rsid w:val="0069221F"/>
    <w:rsid w:val="006A6B20"/>
    <w:rsid w:val="006B27E8"/>
    <w:rsid w:val="006B3029"/>
    <w:rsid w:val="006B74DA"/>
    <w:rsid w:val="006B7632"/>
    <w:rsid w:val="006C54D7"/>
    <w:rsid w:val="006D34D7"/>
    <w:rsid w:val="006D3B27"/>
    <w:rsid w:val="006D3F4B"/>
    <w:rsid w:val="006F3A26"/>
    <w:rsid w:val="006F4980"/>
    <w:rsid w:val="00723A69"/>
    <w:rsid w:val="00725C92"/>
    <w:rsid w:val="00732CE6"/>
    <w:rsid w:val="00743056"/>
    <w:rsid w:val="007826D9"/>
    <w:rsid w:val="007A0240"/>
    <w:rsid w:val="007A67A5"/>
    <w:rsid w:val="007A733A"/>
    <w:rsid w:val="007C166C"/>
    <w:rsid w:val="007C1D09"/>
    <w:rsid w:val="007C66DD"/>
    <w:rsid w:val="007E1923"/>
    <w:rsid w:val="007E5A87"/>
    <w:rsid w:val="007E5EE3"/>
    <w:rsid w:val="007F4C6B"/>
    <w:rsid w:val="00802749"/>
    <w:rsid w:val="00803963"/>
    <w:rsid w:val="00812A05"/>
    <w:rsid w:val="00814F23"/>
    <w:rsid w:val="00816671"/>
    <w:rsid w:val="00820BB3"/>
    <w:rsid w:val="00844694"/>
    <w:rsid w:val="00847D6A"/>
    <w:rsid w:val="008572CE"/>
    <w:rsid w:val="00867DA7"/>
    <w:rsid w:val="00867E86"/>
    <w:rsid w:val="00876E33"/>
    <w:rsid w:val="00876EBA"/>
    <w:rsid w:val="0087796C"/>
    <w:rsid w:val="008823A0"/>
    <w:rsid w:val="00886E85"/>
    <w:rsid w:val="00887AEB"/>
    <w:rsid w:val="00892B36"/>
    <w:rsid w:val="0089492E"/>
    <w:rsid w:val="00897CAD"/>
    <w:rsid w:val="008A2D71"/>
    <w:rsid w:val="008B0048"/>
    <w:rsid w:val="008B0356"/>
    <w:rsid w:val="008B3CF7"/>
    <w:rsid w:val="008C514D"/>
    <w:rsid w:val="008D0982"/>
    <w:rsid w:val="008E7F3D"/>
    <w:rsid w:val="008F5BDE"/>
    <w:rsid w:val="008F6E84"/>
    <w:rsid w:val="0092469D"/>
    <w:rsid w:val="00925B31"/>
    <w:rsid w:val="00930647"/>
    <w:rsid w:val="00933B1E"/>
    <w:rsid w:val="00936BDA"/>
    <w:rsid w:val="009453B2"/>
    <w:rsid w:val="00947AB1"/>
    <w:rsid w:val="00953DA2"/>
    <w:rsid w:val="00966B53"/>
    <w:rsid w:val="0096702A"/>
    <w:rsid w:val="00994D90"/>
    <w:rsid w:val="009C3A94"/>
    <w:rsid w:val="009C7931"/>
    <w:rsid w:val="009D1E08"/>
    <w:rsid w:val="009D5A54"/>
    <w:rsid w:val="00A0653E"/>
    <w:rsid w:val="00A17526"/>
    <w:rsid w:val="00A50763"/>
    <w:rsid w:val="00A52D6D"/>
    <w:rsid w:val="00A5314F"/>
    <w:rsid w:val="00A5697C"/>
    <w:rsid w:val="00A62B19"/>
    <w:rsid w:val="00A65001"/>
    <w:rsid w:val="00A7494F"/>
    <w:rsid w:val="00A76F4A"/>
    <w:rsid w:val="00A8401F"/>
    <w:rsid w:val="00A87512"/>
    <w:rsid w:val="00A91CF5"/>
    <w:rsid w:val="00A96967"/>
    <w:rsid w:val="00AB5697"/>
    <w:rsid w:val="00AC2A92"/>
    <w:rsid w:val="00AC5D95"/>
    <w:rsid w:val="00AC6647"/>
    <w:rsid w:val="00AC6FB6"/>
    <w:rsid w:val="00AD2398"/>
    <w:rsid w:val="00AD66FA"/>
    <w:rsid w:val="00AE3BEA"/>
    <w:rsid w:val="00AE7B69"/>
    <w:rsid w:val="00AF5F53"/>
    <w:rsid w:val="00B03BC1"/>
    <w:rsid w:val="00B044EE"/>
    <w:rsid w:val="00B1752A"/>
    <w:rsid w:val="00B226CB"/>
    <w:rsid w:val="00B24562"/>
    <w:rsid w:val="00B41F0A"/>
    <w:rsid w:val="00B42091"/>
    <w:rsid w:val="00B4559D"/>
    <w:rsid w:val="00B50E82"/>
    <w:rsid w:val="00B57BDA"/>
    <w:rsid w:val="00B67669"/>
    <w:rsid w:val="00B737E7"/>
    <w:rsid w:val="00BA2E2B"/>
    <w:rsid w:val="00BB062A"/>
    <w:rsid w:val="00BB357E"/>
    <w:rsid w:val="00BD5667"/>
    <w:rsid w:val="00BD5AB7"/>
    <w:rsid w:val="00BE2B6B"/>
    <w:rsid w:val="00BE35B8"/>
    <w:rsid w:val="00BF2548"/>
    <w:rsid w:val="00C037F9"/>
    <w:rsid w:val="00C05446"/>
    <w:rsid w:val="00C25401"/>
    <w:rsid w:val="00C403AC"/>
    <w:rsid w:val="00C54A15"/>
    <w:rsid w:val="00C57A7B"/>
    <w:rsid w:val="00C57D0E"/>
    <w:rsid w:val="00C63299"/>
    <w:rsid w:val="00C65B6E"/>
    <w:rsid w:val="00C870E0"/>
    <w:rsid w:val="00C9289D"/>
    <w:rsid w:val="00CA0257"/>
    <w:rsid w:val="00CA4396"/>
    <w:rsid w:val="00CC29A9"/>
    <w:rsid w:val="00CE15DF"/>
    <w:rsid w:val="00CE23A4"/>
    <w:rsid w:val="00CE7D39"/>
    <w:rsid w:val="00D00C70"/>
    <w:rsid w:val="00D035B6"/>
    <w:rsid w:val="00D17C76"/>
    <w:rsid w:val="00D17DEC"/>
    <w:rsid w:val="00D22CE4"/>
    <w:rsid w:val="00D2362D"/>
    <w:rsid w:val="00D401AB"/>
    <w:rsid w:val="00D41903"/>
    <w:rsid w:val="00D53578"/>
    <w:rsid w:val="00D64D37"/>
    <w:rsid w:val="00D66462"/>
    <w:rsid w:val="00D8422D"/>
    <w:rsid w:val="00D90F04"/>
    <w:rsid w:val="00D97A26"/>
    <w:rsid w:val="00DB1305"/>
    <w:rsid w:val="00DC35F6"/>
    <w:rsid w:val="00DC7601"/>
    <w:rsid w:val="00DD3843"/>
    <w:rsid w:val="00DD388A"/>
    <w:rsid w:val="00DD71F5"/>
    <w:rsid w:val="00DE3309"/>
    <w:rsid w:val="00DE37C5"/>
    <w:rsid w:val="00DE6E0E"/>
    <w:rsid w:val="00DE7ECB"/>
    <w:rsid w:val="00DF23F6"/>
    <w:rsid w:val="00E0789E"/>
    <w:rsid w:val="00E20E21"/>
    <w:rsid w:val="00E21DCF"/>
    <w:rsid w:val="00E34DD6"/>
    <w:rsid w:val="00E3666A"/>
    <w:rsid w:val="00E5061C"/>
    <w:rsid w:val="00E57FF2"/>
    <w:rsid w:val="00E650BB"/>
    <w:rsid w:val="00E6538F"/>
    <w:rsid w:val="00E7356A"/>
    <w:rsid w:val="00E76318"/>
    <w:rsid w:val="00E768BB"/>
    <w:rsid w:val="00E85AA9"/>
    <w:rsid w:val="00E913A1"/>
    <w:rsid w:val="00EA0E3A"/>
    <w:rsid w:val="00EA11BC"/>
    <w:rsid w:val="00EA41D6"/>
    <w:rsid w:val="00EA59B9"/>
    <w:rsid w:val="00EB19F1"/>
    <w:rsid w:val="00EB2045"/>
    <w:rsid w:val="00ED0FF1"/>
    <w:rsid w:val="00EE27CE"/>
    <w:rsid w:val="00EF2220"/>
    <w:rsid w:val="00F015F6"/>
    <w:rsid w:val="00F025BC"/>
    <w:rsid w:val="00F079C9"/>
    <w:rsid w:val="00F11C30"/>
    <w:rsid w:val="00F3461B"/>
    <w:rsid w:val="00F42BB2"/>
    <w:rsid w:val="00F47691"/>
    <w:rsid w:val="00F83678"/>
    <w:rsid w:val="00FA6C4F"/>
    <w:rsid w:val="00FB4883"/>
    <w:rsid w:val="00FB67CF"/>
    <w:rsid w:val="00FD0C21"/>
    <w:rsid w:val="00FD65C6"/>
    <w:rsid w:val="00FE3A40"/>
    <w:rsid w:val="00FE59A1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06770"/>
  <w15:chartTrackingRefBased/>
  <w15:docId w15:val="{576CA3D9-BCD7-4E58-BEA6-03443632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400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1011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EA59B9"/>
    <w:rPr>
      <w:rFonts w:ascii="AdvGulliv-R" w:hAnsi="AdvGulliv-R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uiPriority w:val="22"/>
    <w:qFormat/>
    <w:rsid w:val="00F3461B"/>
    <w:rPr>
      <w:b/>
      <w:bCs/>
    </w:rPr>
  </w:style>
  <w:style w:type="character" w:styleId="Emphasis">
    <w:name w:val="Emphasis"/>
    <w:uiPriority w:val="20"/>
    <w:qFormat/>
    <w:rsid w:val="00F3461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011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ma-separator">
    <w:name w:val="comma-separator"/>
    <w:rsid w:val="00FB4883"/>
  </w:style>
  <w:style w:type="character" w:customStyle="1" w:styleId="fontstyle21">
    <w:name w:val="fontstyle21"/>
    <w:basedOn w:val="DefaultParagraphFont"/>
    <w:rsid w:val="00C63299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74C9-FFFA-4965-A59C-AE89CE29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2024-01-11T13:25:00Z</dcterms:created>
  <dcterms:modified xsi:type="dcterms:W3CDTF">2024-01-14T15:08:00Z</dcterms:modified>
</cp:coreProperties>
</file>