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28" w:rsidRDefault="00FE3AAC" w:rsidP="00765D56">
      <w:pPr>
        <w:jc w:val="center"/>
        <w:rPr>
          <w:rFonts w:ascii="Times New Roman" w:hAnsi="Times New Roman" w:cs="Times New Roman"/>
          <w:b/>
          <w:sz w:val="26"/>
          <w:szCs w:val="26"/>
        </w:rPr>
      </w:pPr>
      <w:bookmarkStart w:id="0" w:name="_GoBack"/>
      <w:r w:rsidRPr="00144C3D">
        <w:rPr>
          <w:rFonts w:ascii="Times New Roman" w:hAnsi="Times New Roman" w:cs="Times New Roman"/>
          <w:b/>
          <w:sz w:val="26"/>
          <w:szCs w:val="26"/>
        </w:rPr>
        <w:t xml:space="preserve">CHỨNG KHOÁN PHÁI SINH – NHỮNG KHÁC BIÊT </w:t>
      </w:r>
      <w:r w:rsidR="00765D56" w:rsidRPr="00144C3D">
        <w:rPr>
          <w:rFonts w:ascii="Times New Roman" w:hAnsi="Times New Roman" w:cs="Times New Roman"/>
          <w:b/>
          <w:sz w:val="26"/>
          <w:szCs w:val="26"/>
        </w:rPr>
        <w:t xml:space="preserve">SO </w:t>
      </w:r>
      <w:r w:rsidRPr="00144C3D">
        <w:rPr>
          <w:rFonts w:ascii="Times New Roman" w:hAnsi="Times New Roman" w:cs="Times New Roman"/>
          <w:b/>
          <w:sz w:val="26"/>
          <w:szCs w:val="26"/>
        </w:rPr>
        <w:t>VỚI CHỨNG KHOÁN CƠ SỞ</w:t>
      </w:r>
    </w:p>
    <w:p w:rsidR="00D36FA2" w:rsidRPr="00144C3D" w:rsidRDefault="00D36FA2" w:rsidP="00D36FA2">
      <w:pPr>
        <w:ind w:left="5760" w:firstLine="720"/>
        <w:jc w:val="center"/>
        <w:rPr>
          <w:rFonts w:ascii="Times New Roman" w:hAnsi="Times New Roman" w:cs="Times New Roman"/>
          <w:b/>
          <w:sz w:val="26"/>
          <w:szCs w:val="26"/>
        </w:rPr>
      </w:pPr>
      <w:r>
        <w:rPr>
          <w:rFonts w:ascii="Times New Roman" w:hAnsi="Times New Roman" w:cs="Times New Roman"/>
          <w:b/>
          <w:sz w:val="26"/>
          <w:szCs w:val="26"/>
        </w:rPr>
        <w:t>Ths. Thái Nữ Hạ Uyên</w:t>
      </w:r>
    </w:p>
    <w:p w:rsidR="000303F4" w:rsidRPr="00144C3D" w:rsidRDefault="000303F4" w:rsidP="00765D56">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Chứng khoán phái sinh là loại chứng khoán sinh ra dựa trên một loại chứng khoán cơ sở.Ví dụ: Từ chứng khoán cơ sở là chỉ số VN30 ta sẽ tạo ra các loại chứng khoán phái sinh là Hợp đồng tương lai VN30 (VN30 Futures) hoặc là hợp đồng quyền chọn VN30 (VN30 Options).</w:t>
      </w:r>
    </w:p>
    <w:bookmarkEnd w:id="0"/>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Ví dụ ta có hợp đồng tương lai VN30 sẽ đáo hạn vào 30/9/</w:t>
      </w:r>
      <w:r w:rsidR="009A36A3" w:rsidRPr="00144C3D">
        <w:rPr>
          <w:rFonts w:ascii="Times New Roman" w:eastAsia="Times New Roman" w:hAnsi="Times New Roman" w:cs="Times New Roman"/>
          <w:color w:val="1D2129"/>
          <w:sz w:val="26"/>
          <w:szCs w:val="26"/>
        </w:rPr>
        <w:t>2019 thì sẽ có mã là: VN30F19</w:t>
      </w:r>
      <w:r w:rsidRPr="00144C3D">
        <w:rPr>
          <w:rFonts w:ascii="Times New Roman" w:eastAsia="Times New Roman" w:hAnsi="Times New Roman" w:cs="Times New Roman"/>
          <w:color w:val="1D2129"/>
          <w:sz w:val="26"/>
          <w:szCs w:val="26"/>
        </w:rPr>
        <w:t xml:space="preserve">09. </w:t>
      </w:r>
      <w:r w:rsidR="00125D4D" w:rsidRPr="00144C3D">
        <w:rPr>
          <w:rFonts w:ascii="Times New Roman" w:eastAsia="Times New Roman" w:hAnsi="Times New Roman" w:cs="Times New Roman"/>
          <w:color w:val="1D2129"/>
          <w:sz w:val="26"/>
          <w:szCs w:val="26"/>
        </w:rPr>
        <w:t>Giả sử</w:t>
      </w:r>
      <w:r w:rsidR="009A36A3" w:rsidRPr="00144C3D">
        <w:rPr>
          <w:rFonts w:ascii="Times New Roman" w:eastAsia="Times New Roman" w:hAnsi="Times New Roman" w:cs="Times New Roman"/>
          <w:color w:val="1D2129"/>
          <w:sz w:val="26"/>
          <w:szCs w:val="26"/>
        </w:rPr>
        <w:t xml:space="preserve"> VN30F19</w:t>
      </w:r>
      <w:r w:rsidRPr="00144C3D">
        <w:rPr>
          <w:rFonts w:ascii="Times New Roman" w:eastAsia="Times New Roman" w:hAnsi="Times New Roman" w:cs="Times New Roman"/>
          <w:color w:val="1D2129"/>
          <w:sz w:val="26"/>
          <w:szCs w:val="26"/>
        </w:rPr>
        <w:t>09 giao dịch tại mức giá 800 là một hợp đồng mà bên mua A và bên bán B thỏa thuận với nhau tới ngày 30/9/2019</w:t>
      </w:r>
      <w:r w:rsidR="006A1B7A" w:rsidRPr="00144C3D">
        <w:rPr>
          <w:rFonts w:ascii="Times New Roman" w:eastAsia="Times New Roman" w:hAnsi="Times New Roman" w:cs="Times New Roman"/>
          <w:color w:val="1D2129"/>
          <w:sz w:val="26"/>
          <w:szCs w:val="26"/>
        </w:rPr>
        <w:t>. H</w:t>
      </w:r>
      <w:r w:rsidRPr="00144C3D">
        <w:rPr>
          <w:rFonts w:ascii="Times New Roman" w:eastAsia="Times New Roman" w:hAnsi="Times New Roman" w:cs="Times New Roman"/>
          <w:color w:val="1D2129"/>
          <w:sz w:val="26"/>
          <w:szCs w:val="26"/>
        </w:rPr>
        <w:t>ai bên sẽ phải thực hiện giao dịch 100.000 chỉ số VN30 với g</w:t>
      </w:r>
      <w:r w:rsidR="00DA2505" w:rsidRPr="00144C3D">
        <w:rPr>
          <w:rFonts w:ascii="Times New Roman" w:eastAsia="Times New Roman" w:hAnsi="Times New Roman" w:cs="Times New Roman"/>
          <w:color w:val="1D2129"/>
          <w:sz w:val="26"/>
          <w:szCs w:val="26"/>
        </w:rPr>
        <w:t>iá 800, giá trị là 80tr đồng. (</w:t>
      </w:r>
      <w:r w:rsidRPr="00144C3D">
        <w:rPr>
          <w:rFonts w:ascii="Times New Roman" w:eastAsia="Times New Roman" w:hAnsi="Times New Roman" w:cs="Times New Roman"/>
          <w:color w:val="1D2129"/>
          <w:sz w:val="26"/>
          <w:szCs w:val="26"/>
        </w:rPr>
        <w:t>Do 1 hợp đồng đc quy định sẵn trị giá là 100.000 x VN30).</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Nhưng vì chỉ số VN30 không phải là một món hàng vật lý như vàng hay cao su, nên tới ngày 30/9/2019 hai bên không thể thực hiện việc một bên trao hàng một bên trao tiền. Lúc này Trung Tâm Lưu Ký (VSD) sẽ</w:t>
      </w:r>
      <w:r w:rsidR="00D60E7B" w:rsidRPr="00144C3D">
        <w:rPr>
          <w:rFonts w:ascii="Times New Roman" w:eastAsia="Times New Roman" w:hAnsi="Times New Roman" w:cs="Times New Roman"/>
          <w:color w:val="1D2129"/>
          <w:sz w:val="26"/>
          <w:szCs w:val="26"/>
        </w:rPr>
        <w:t xml:space="preserve"> làm vai trò trung gian,</w:t>
      </w:r>
      <w:r w:rsidRPr="00144C3D">
        <w:rPr>
          <w:rFonts w:ascii="Times New Roman" w:eastAsia="Times New Roman" w:hAnsi="Times New Roman" w:cs="Times New Roman"/>
          <w:color w:val="1D2129"/>
          <w:sz w:val="26"/>
          <w:szCs w:val="26"/>
        </w:rPr>
        <w:t xml:space="preserve"> căn cứ vào chỉ số VN30 thực tế (ví dụ là 810) thì VSD sẽ phân xử như sau: ông A mua 800 bây giờ giá là 810 thì sẽ có lời 10x100.000= 1tr đồng, ông B bán giá 800 nhưng bây giờ giá 810 nên bị lỗ 10x100.000= -1tr đồng. Vậy là kết thúc hợp đồng A lời 1tr và B lỗ 1tr. Tiền của B thông qua VSD sẽ được chuyển sang cho A, hai bên không phải gặp nhau và không cần biết nhau.</w:t>
      </w:r>
    </w:p>
    <w:p w:rsidR="000303F4" w:rsidRPr="00144C3D" w:rsidRDefault="009A36A3"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VN30F19</w:t>
      </w:r>
      <w:r w:rsidR="000303F4" w:rsidRPr="00144C3D">
        <w:rPr>
          <w:rFonts w:ascii="Times New Roman" w:eastAsia="Times New Roman" w:hAnsi="Times New Roman" w:cs="Times New Roman"/>
          <w:color w:val="1D2129"/>
          <w:sz w:val="26"/>
          <w:szCs w:val="26"/>
        </w:rPr>
        <w:t>09 sẽ được niêm yết và giao dịch hàng ngày giốn</w:t>
      </w:r>
      <w:r w:rsidR="00C25757" w:rsidRPr="00144C3D">
        <w:rPr>
          <w:rFonts w:ascii="Times New Roman" w:eastAsia="Times New Roman" w:hAnsi="Times New Roman" w:cs="Times New Roman"/>
          <w:color w:val="1D2129"/>
          <w:sz w:val="26"/>
          <w:szCs w:val="26"/>
        </w:rPr>
        <w:t>g như một cổ phiếu bình thường (</w:t>
      </w:r>
      <w:r w:rsidR="000303F4" w:rsidRPr="00144C3D">
        <w:rPr>
          <w:rFonts w:ascii="Times New Roman" w:eastAsia="Times New Roman" w:hAnsi="Times New Roman" w:cs="Times New Roman"/>
          <w:color w:val="1D2129"/>
          <w:sz w:val="26"/>
          <w:szCs w:val="26"/>
        </w:rPr>
        <w:t>vd như VNM, cũng dư mua dư bán, ai thích mua cứ đặt lệnh mua, ai thích bán thì đặt lệnh bán) trong suốt vòng đời của nó cho tới khi đáo hạn vào cuối tháng 9.</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Trong vòng đời giao dịch sẽ có hai loại giao dịch cơ bản:</w:t>
      </w:r>
    </w:p>
    <w:p w:rsidR="000303F4" w:rsidRPr="00144C3D" w:rsidRDefault="000303F4" w:rsidP="000303F4">
      <w:pPr>
        <w:shd w:val="clear" w:color="auto" w:fill="FFFFFF"/>
        <w:spacing w:before="90" w:after="90" w:line="240" w:lineRule="auto"/>
        <w:ind w:left="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 loại 1 là A hoặc B sẽ chuyển nhượng hợp đồng này cho C và rút lui, như vậy số lượng HĐ vẫn là 1.</w:t>
      </w:r>
      <w:r w:rsidRPr="00144C3D">
        <w:rPr>
          <w:rFonts w:ascii="Times New Roman" w:eastAsia="Times New Roman" w:hAnsi="Times New Roman" w:cs="Times New Roman"/>
          <w:color w:val="1D2129"/>
          <w:sz w:val="26"/>
          <w:szCs w:val="26"/>
        </w:rPr>
        <w:br/>
        <w:t>+ loại 2 là xuất hiện hai người mới là C và D ký với nhau như vậy số lượng HĐ sẽ tăng lên 2.</w:t>
      </w:r>
    </w:p>
    <w:p w:rsidR="000303F4" w:rsidRPr="00D36FA2" w:rsidRDefault="005F6283" w:rsidP="00D36FA2">
      <w:pPr>
        <w:pStyle w:val="ListParagraph"/>
        <w:numPr>
          <w:ilvl w:val="0"/>
          <w:numId w:val="11"/>
        </w:numPr>
        <w:shd w:val="clear" w:color="auto" w:fill="FFFFFF"/>
        <w:spacing w:before="90" w:after="90" w:line="240" w:lineRule="auto"/>
        <w:jc w:val="both"/>
        <w:rPr>
          <w:rFonts w:ascii="Times New Roman" w:eastAsia="Times New Roman" w:hAnsi="Times New Roman" w:cs="Times New Roman"/>
          <w:b/>
          <w:color w:val="1D2129"/>
          <w:sz w:val="26"/>
          <w:szCs w:val="26"/>
        </w:rPr>
      </w:pPr>
      <w:r w:rsidRPr="00D36FA2">
        <w:rPr>
          <w:rFonts w:ascii="Times New Roman" w:eastAsia="Times New Roman" w:hAnsi="Times New Roman" w:cs="Times New Roman"/>
          <w:b/>
          <w:color w:val="1D2129"/>
          <w:sz w:val="26"/>
          <w:szCs w:val="26"/>
        </w:rPr>
        <w:t>Vậy Chứng khoán phái sinh</w:t>
      </w:r>
      <w:r w:rsidR="000303F4" w:rsidRPr="00D36FA2">
        <w:rPr>
          <w:rFonts w:ascii="Times New Roman" w:eastAsia="Times New Roman" w:hAnsi="Times New Roman" w:cs="Times New Roman"/>
          <w:b/>
          <w:color w:val="1D2129"/>
          <w:sz w:val="26"/>
          <w:szCs w:val="26"/>
        </w:rPr>
        <w:t xml:space="preserve"> sinh ra để làm gì? </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Có hai lý do chính:</w:t>
      </w:r>
    </w:p>
    <w:p w:rsidR="000303F4" w:rsidRPr="00144C3D" w:rsidRDefault="000303F4" w:rsidP="000303F4">
      <w:pPr>
        <w:shd w:val="clear" w:color="auto" w:fill="FFFFFF"/>
        <w:spacing w:before="90" w:after="90" w:line="240" w:lineRule="auto"/>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Thứ nhất là đầu cơ: ví dụ bạn nghĩ rằng thị trường từ giờ đến cuối tháng 9 sẽ tăng, tuy nhiên bạn không biết phải chọn cổ phiếu nào để mua, hoặc sợ dồn tiền vào một hai cp thì sợ công ty phá sản, các</w:t>
      </w:r>
      <w:r w:rsidR="009A36A3" w:rsidRPr="00144C3D">
        <w:rPr>
          <w:rFonts w:ascii="Times New Roman" w:eastAsia="Times New Roman" w:hAnsi="Times New Roman" w:cs="Times New Roman"/>
          <w:color w:val="1D2129"/>
          <w:sz w:val="26"/>
          <w:szCs w:val="26"/>
        </w:rPr>
        <w:t>h đơn giản là bạn cứ mua VN30F19</w:t>
      </w:r>
      <w:r w:rsidRPr="00144C3D">
        <w:rPr>
          <w:rFonts w:ascii="Times New Roman" w:eastAsia="Times New Roman" w:hAnsi="Times New Roman" w:cs="Times New Roman"/>
          <w:color w:val="1D2129"/>
          <w:sz w:val="26"/>
          <w:szCs w:val="26"/>
        </w:rPr>
        <w:t>09, nó chính là đại diện cho thị trường.</w:t>
      </w:r>
    </w:p>
    <w:p w:rsidR="00D36FA2" w:rsidRPr="00D36FA2" w:rsidRDefault="000303F4" w:rsidP="00D36FA2">
      <w:pPr>
        <w:ind w:firstLine="720"/>
        <w:jc w:val="both"/>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Thứ hai là phòng ngừa rủi ro: giả sử bạn đang sở hữu một danh mục 50 cổ phiếu với mục tiêu đầu tư dài hạn và thị trường đang có một tin vĩ mô cực xấu xảy ra, bạn nghĩ là nên tạm thoát khỏi thị trường, tuy nhiên việc bán hết một lúc 50 cp không phải là giải pháp hay, lúc này chỉ đơn giả</w:t>
      </w:r>
      <w:r w:rsidR="009A36A3" w:rsidRPr="00144C3D">
        <w:rPr>
          <w:rFonts w:ascii="Times New Roman" w:eastAsia="Times New Roman" w:hAnsi="Times New Roman" w:cs="Times New Roman"/>
          <w:color w:val="1D2129"/>
          <w:sz w:val="26"/>
          <w:szCs w:val="26"/>
        </w:rPr>
        <w:t>n là bán một số lượng hđ VN30F19</w:t>
      </w:r>
      <w:r w:rsidRPr="00144C3D">
        <w:rPr>
          <w:rFonts w:ascii="Times New Roman" w:eastAsia="Times New Roman" w:hAnsi="Times New Roman" w:cs="Times New Roman"/>
          <w:color w:val="1D2129"/>
          <w:sz w:val="26"/>
          <w:szCs w:val="26"/>
        </w:rPr>
        <w:t>09 bằng với giá trị danh mục. Như vậy trạng thái rủi ro lúc này của toàn bộ danh mục là gần như cân bằng, thị trường tăng giảm gì cũng không ảnh hưởng vì 5</w:t>
      </w:r>
      <w:r w:rsidR="009A36A3" w:rsidRPr="00144C3D">
        <w:rPr>
          <w:rFonts w:ascii="Times New Roman" w:eastAsia="Times New Roman" w:hAnsi="Times New Roman" w:cs="Times New Roman"/>
          <w:color w:val="1D2129"/>
          <w:sz w:val="26"/>
          <w:szCs w:val="26"/>
        </w:rPr>
        <w:t>0 cp kia và lượng hđ VN30F19</w:t>
      </w:r>
      <w:r w:rsidRPr="00144C3D">
        <w:rPr>
          <w:rFonts w:ascii="Times New Roman" w:eastAsia="Times New Roman" w:hAnsi="Times New Roman" w:cs="Times New Roman"/>
          <w:color w:val="1D2129"/>
          <w:sz w:val="26"/>
          <w:szCs w:val="26"/>
        </w:rPr>
        <w:t>09 đang ngược nhau về mặt lời lỗ khi thị trường biến động. Chức năng phòng hộ này rất cần thiết đối với các quỹ lớn, và muốn nâng hạng thị trường thì chứng khoán Việt Nam phải có sản phẩm phái sinh</w:t>
      </w:r>
    </w:p>
    <w:p w:rsidR="009A36A3" w:rsidRPr="00D36FA2" w:rsidRDefault="00C25757" w:rsidP="00D36FA2">
      <w:pPr>
        <w:pStyle w:val="ListParagraph"/>
        <w:numPr>
          <w:ilvl w:val="0"/>
          <w:numId w:val="10"/>
        </w:numPr>
        <w:shd w:val="clear" w:color="auto" w:fill="FFFFFF"/>
        <w:spacing w:before="90" w:after="90" w:line="240" w:lineRule="auto"/>
        <w:rPr>
          <w:rFonts w:ascii="Times New Roman" w:eastAsia="Times New Roman" w:hAnsi="Times New Roman" w:cs="Times New Roman"/>
          <w:b/>
          <w:color w:val="1D2129"/>
          <w:sz w:val="26"/>
          <w:szCs w:val="26"/>
        </w:rPr>
      </w:pPr>
      <w:r w:rsidRPr="00D36FA2">
        <w:rPr>
          <w:rFonts w:ascii="Times New Roman" w:eastAsia="Times New Roman" w:hAnsi="Times New Roman" w:cs="Times New Roman"/>
          <w:b/>
          <w:color w:val="1D2129"/>
          <w:sz w:val="26"/>
          <w:szCs w:val="26"/>
        </w:rPr>
        <w:t>Giá HĐ</w:t>
      </w:r>
      <w:r w:rsidR="009A36A3" w:rsidRPr="00D36FA2">
        <w:rPr>
          <w:rFonts w:ascii="Times New Roman" w:eastAsia="Times New Roman" w:hAnsi="Times New Roman" w:cs="Times New Roman"/>
          <w:b/>
          <w:color w:val="1D2129"/>
          <w:sz w:val="26"/>
          <w:szCs w:val="26"/>
        </w:rPr>
        <w:t xml:space="preserve"> Futures và giá VN30</w:t>
      </w:r>
      <w:r w:rsidR="00D36FA2" w:rsidRPr="00D36FA2">
        <w:rPr>
          <w:rFonts w:ascii="Times New Roman" w:eastAsia="Times New Roman" w:hAnsi="Times New Roman" w:cs="Times New Roman"/>
          <w:b/>
          <w:color w:val="1D2129"/>
          <w:sz w:val="26"/>
          <w:szCs w:val="26"/>
        </w:rPr>
        <w:t xml:space="preserve"> là gì</w:t>
      </w:r>
      <w:r w:rsidR="00EC3899" w:rsidRPr="00D36FA2">
        <w:rPr>
          <w:rFonts w:ascii="Times New Roman" w:eastAsia="Times New Roman" w:hAnsi="Times New Roman" w:cs="Times New Roman"/>
          <w:b/>
          <w:color w:val="1D2129"/>
          <w:sz w:val="26"/>
          <w:szCs w:val="26"/>
        </w:rPr>
        <w:t>?</w:t>
      </w:r>
    </w:p>
    <w:p w:rsidR="00202874" w:rsidRPr="00144C3D" w:rsidRDefault="009A36A3" w:rsidP="00755CD6">
      <w:pPr>
        <w:shd w:val="clear" w:color="auto" w:fill="FFFFFF"/>
        <w:spacing w:before="90" w:after="90" w:line="240" w:lineRule="auto"/>
        <w:ind w:firstLine="720"/>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VN30F1909 khi bắt đầu niêm yết sẽ được sở GDCK ấn định một mức giá chào sàn, và từ đó cho tới khi đến hạn giá sẽ do cung cầu mua bán trên sàn quyết định.Giá của VN30 chính là chỉ số VN30, mức giá này sẽ do 30 cổ</w:t>
      </w:r>
      <w:r w:rsidR="00202874" w:rsidRPr="00144C3D">
        <w:rPr>
          <w:rFonts w:ascii="Times New Roman" w:eastAsia="Times New Roman" w:hAnsi="Times New Roman" w:cs="Times New Roman"/>
          <w:color w:val="1D2129"/>
          <w:sz w:val="26"/>
          <w:szCs w:val="26"/>
        </w:rPr>
        <w:t xml:space="preserve"> phiếu trong rổ VN30 quyết định</w:t>
      </w:r>
    </w:p>
    <w:p w:rsidR="009A36A3" w:rsidRPr="00144C3D" w:rsidRDefault="009A36A3" w:rsidP="00202874">
      <w:pPr>
        <w:shd w:val="clear" w:color="auto" w:fill="FFFFFF"/>
        <w:spacing w:before="90" w:after="90" w:line="240" w:lineRule="auto"/>
        <w:ind w:firstLine="720"/>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Tại mỗi thời điểm, mức chênh lệch giữa giá VN30F1909 và VN30 được gọi là Basis. Về mặt lý thuyết thì Basis này sẽ càng lớn khi mới bắt đầu giao dịch VN30F1909 và sẽ tiến dần về 0 khi đáo hạn hợp đồng.</w:t>
      </w:r>
    </w:p>
    <w:p w:rsidR="009A36A3" w:rsidRPr="00D36FA2" w:rsidRDefault="00D36FA2" w:rsidP="00D36FA2">
      <w:pPr>
        <w:pStyle w:val="ListParagraph"/>
        <w:numPr>
          <w:ilvl w:val="0"/>
          <w:numId w:val="9"/>
        </w:numPr>
        <w:shd w:val="clear" w:color="auto" w:fill="FFFFFF"/>
        <w:spacing w:before="90" w:after="90" w:line="240" w:lineRule="auto"/>
        <w:rPr>
          <w:rFonts w:ascii="Times New Roman" w:eastAsia="Times New Roman" w:hAnsi="Times New Roman" w:cs="Times New Roman"/>
          <w:b/>
          <w:color w:val="1D2129"/>
          <w:sz w:val="26"/>
          <w:szCs w:val="26"/>
        </w:rPr>
      </w:pPr>
      <w:r>
        <w:rPr>
          <w:rFonts w:ascii="Times New Roman" w:eastAsia="Times New Roman" w:hAnsi="Times New Roman" w:cs="Times New Roman"/>
          <w:b/>
          <w:color w:val="1D2129"/>
          <w:sz w:val="26"/>
          <w:szCs w:val="26"/>
        </w:rPr>
        <w:lastRenderedPageBreak/>
        <w:t>L</w:t>
      </w:r>
      <w:r w:rsidR="009A36A3" w:rsidRPr="00D36FA2">
        <w:rPr>
          <w:rFonts w:ascii="Times New Roman" w:eastAsia="Times New Roman" w:hAnsi="Times New Roman" w:cs="Times New Roman"/>
          <w:b/>
          <w:color w:val="1D2129"/>
          <w:sz w:val="26"/>
          <w:szCs w:val="26"/>
        </w:rPr>
        <w:t>ời lỗ sẽ tính như thế nào?</w:t>
      </w:r>
    </w:p>
    <w:p w:rsidR="000303F4" w:rsidRDefault="009A36A3" w:rsidP="00244909">
      <w:pPr>
        <w:shd w:val="clear" w:color="auto" w:fill="FFFFFF"/>
        <w:spacing w:before="90" w:after="90" w:line="240" w:lineRule="auto"/>
        <w:ind w:firstLine="720"/>
        <w:rPr>
          <w:rFonts w:ascii="Times New Roman" w:eastAsia="Times New Roman" w:hAnsi="Times New Roman" w:cs="Times New Roman"/>
          <w:color w:val="1D2129"/>
          <w:sz w:val="26"/>
          <w:szCs w:val="26"/>
        </w:rPr>
      </w:pPr>
      <w:r w:rsidRPr="00144C3D">
        <w:rPr>
          <w:rFonts w:ascii="Times New Roman" w:eastAsia="Times New Roman" w:hAnsi="Times New Roman" w:cs="Times New Roman"/>
          <w:color w:val="1D2129"/>
          <w:sz w:val="26"/>
          <w:szCs w:val="26"/>
        </w:rPr>
        <w:t>Khi đặt lênh Mua/Ban VN30F1909 tức là đã tác động vào biến động giá của VN30F1909, kể từ lúc đó cho tới trước khi hết hạn HĐ lời lỗ  được tính theo giá VN30F1909; chỉ đến khi đáo hạn hợp đồng thì lời lỗ sẽ được t</w:t>
      </w:r>
      <w:r w:rsidR="00202874" w:rsidRPr="00144C3D">
        <w:rPr>
          <w:rFonts w:ascii="Times New Roman" w:eastAsia="Times New Roman" w:hAnsi="Times New Roman" w:cs="Times New Roman"/>
          <w:color w:val="1D2129"/>
          <w:sz w:val="26"/>
          <w:szCs w:val="26"/>
        </w:rPr>
        <w:t xml:space="preserve">ính theo VN30 tại thời điểm đó. </w:t>
      </w:r>
      <w:r w:rsidRPr="00144C3D">
        <w:rPr>
          <w:rFonts w:ascii="Times New Roman" w:eastAsia="Times New Roman" w:hAnsi="Times New Roman" w:cs="Times New Roman"/>
          <w:color w:val="1D2129"/>
          <w:sz w:val="26"/>
          <w:szCs w:val="26"/>
        </w:rPr>
        <w:t>Chính vì vậy trong vòng đời của mình, giá của VN30F1909 có thể biến động thoải mái nhưng khi đến ngày đáo hạn nó sẽ phải quay về với VN30.</w:t>
      </w:r>
    </w:p>
    <w:p w:rsidR="00244909" w:rsidRPr="00244909" w:rsidRDefault="00244909" w:rsidP="00244909">
      <w:pPr>
        <w:shd w:val="clear" w:color="auto" w:fill="FFFFFF"/>
        <w:spacing w:before="90" w:after="90" w:line="240" w:lineRule="auto"/>
        <w:ind w:firstLine="720"/>
        <w:rPr>
          <w:rFonts w:ascii="Times New Roman" w:eastAsia="Times New Roman" w:hAnsi="Times New Roman" w:cs="Times New Roman"/>
          <w:b/>
          <w:color w:val="1D2129"/>
          <w:sz w:val="26"/>
          <w:szCs w:val="26"/>
        </w:rPr>
      </w:pPr>
      <w:r w:rsidRPr="00244909">
        <w:rPr>
          <w:rFonts w:ascii="Times New Roman" w:eastAsia="Times New Roman" w:hAnsi="Times New Roman" w:cs="Times New Roman"/>
          <w:b/>
          <w:color w:val="1D2129"/>
          <w:sz w:val="26"/>
          <w:szCs w:val="26"/>
        </w:rPr>
        <w:t>Sự khác biệt của chứng khoán phái sinh so với chứng khoán cơ sở?</w:t>
      </w:r>
    </w:p>
    <w:tbl>
      <w:tblPr>
        <w:tblW w:w="11005" w:type="dxa"/>
        <w:tblInd w:w="-98"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720"/>
        <w:gridCol w:w="2637"/>
        <w:gridCol w:w="3663"/>
        <w:gridCol w:w="3985"/>
      </w:tblGrid>
      <w:tr w:rsidR="00FE3AAC" w:rsidRPr="00144C3D" w:rsidTr="009028DD">
        <w:trPr>
          <w:trHeight w:val="405"/>
        </w:trPr>
        <w:tc>
          <w:tcPr>
            <w:tcW w:w="720" w:type="dxa"/>
            <w:tcBorders>
              <w:top w:val="single" w:sz="6" w:space="0" w:color="FFFFFF"/>
              <w:left w:val="single" w:sz="6" w:space="0" w:color="FFFFFF"/>
              <w:bottom w:val="single" w:sz="6" w:space="0" w:color="FFFFFF"/>
              <w:right w:val="single" w:sz="6" w:space="0" w:color="FFFFFF"/>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TT</w:t>
            </w:r>
          </w:p>
        </w:tc>
        <w:tc>
          <w:tcPr>
            <w:tcW w:w="2637" w:type="dxa"/>
            <w:tcBorders>
              <w:top w:val="single" w:sz="6" w:space="0" w:color="FFFFFF"/>
              <w:left w:val="single" w:sz="6" w:space="0" w:color="FFFFFF"/>
              <w:bottom w:val="single" w:sz="6" w:space="0" w:color="FFFFFF"/>
              <w:right w:val="single" w:sz="6" w:space="0" w:color="FFFFFF"/>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Nội dung</w:t>
            </w:r>
          </w:p>
        </w:tc>
        <w:tc>
          <w:tcPr>
            <w:tcW w:w="3663" w:type="dxa"/>
            <w:tcBorders>
              <w:top w:val="single" w:sz="6" w:space="0" w:color="FFFFFF"/>
              <w:left w:val="single" w:sz="6" w:space="0" w:color="FFFFFF"/>
              <w:bottom w:val="single" w:sz="6" w:space="0" w:color="FFFFFF"/>
              <w:right w:val="single" w:sz="6" w:space="0" w:color="FFFFFF"/>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Chứng khoán Cơ sở</w:t>
            </w:r>
          </w:p>
        </w:tc>
        <w:tc>
          <w:tcPr>
            <w:tcW w:w="3985" w:type="dxa"/>
            <w:tcBorders>
              <w:top w:val="single" w:sz="6" w:space="0" w:color="F26522"/>
              <w:left w:val="single" w:sz="6" w:space="0" w:color="F26522"/>
              <w:bottom w:val="single" w:sz="6" w:space="0" w:color="F26522"/>
              <w:right w:val="single" w:sz="6" w:space="0" w:color="F26522"/>
            </w:tcBorders>
            <w:shd w:val="clear" w:color="auto" w:fill="F26522"/>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b/>
                <w:bCs/>
                <w:color w:val="FFFFFF"/>
                <w:sz w:val="26"/>
                <w:szCs w:val="26"/>
              </w:rPr>
              <w:t>Chứng khoán Phái sinh</w:t>
            </w:r>
          </w:p>
        </w:tc>
      </w:tr>
      <w:tr w:rsidR="00FE3AAC" w:rsidRPr="00144C3D" w:rsidTr="009028DD">
        <w:trPr>
          <w:trHeight w:val="3045"/>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Ký quỹ</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numPr>
                <w:ilvl w:val="0"/>
                <w:numId w:val="1"/>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Phải có đủ 100% tiền và cổ phiếu trước khi giao dịch.</w:t>
            </w:r>
          </w:p>
          <w:p w:rsidR="00FE3AAC" w:rsidRPr="00144C3D" w:rsidRDefault="00FE3AAC" w:rsidP="000303F4">
            <w:pPr>
              <w:numPr>
                <w:ilvl w:val="0"/>
                <w:numId w:val="1"/>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Có thể vay ký quỹ để mua cổ phiếu. Chỉ các cổ phiếu đạt tiêu chuẩn mới được giao dịch ký quỹ.</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202874"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Chỉ ký quỹ một tỷ lệ nhất định so với</w:t>
            </w:r>
          </w:p>
          <w:p w:rsidR="00FE3AAC"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 xml:space="preserve"> giá trị các hợp đồng tương lai.</w:t>
            </w:r>
          </w:p>
          <w:p w:rsidR="00202874"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Hiện tại tỷ lệ ký quỹ theo quy định của</w:t>
            </w:r>
          </w:p>
          <w:p w:rsidR="00202874"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VSD là 13% nhưng để phòng ngừa rủi</w:t>
            </w:r>
          </w:p>
          <w:p w:rsidR="00FE3AAC"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 xml:space="preserve"> ro.</w:t>
            </w:r>
          </w:p>
        </w:tc>
      </w:tr>
      <w:tr w:rsidR="00FE3AAC" w:rsidRPr="00144C3D" w:rsidTr="009028DD">
        <w:trPr>
          <w:trHeight w:val="405"/>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2</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Thời gian giao dịch</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09h00 – 11h30; 13h00 – 15h00</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08h45 – 11h30; 13h00 – 14h45</w:t>
            </w:r>
          </w:p>
        </w:tc>
      </w:tr>
      <w:tr w:rsidR="00FE3AAC" w:rsidRPr="00144C3D" w:rsidTr="009028DD">
        <w:trPr>
          <w:trHeight w:val="765"/>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3</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Các loại lệnh giao dịch</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ATO, ATC, LO, MAK, MOK, MTL</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ATO, ATC, LO, MAK, MOK, MTL</w:t>
            </w:r>
          </w:p>
        </w:tc>
      </w:tr>
      <w:tr w:rsidR="00FE3AAC" w:rsidRPr="00144C3D" w:rsidTr="009028DD">
        <w:trPr>
          <w:trHeight w:val="405"/>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4</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Phương thức giao dịch</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Khớp lệnh và thỏa thuận</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Khớp lệnh và thỏa thuận</w:t>
            </w:r>
          </w:p>
        </w:tc>
      </w:tr>
      <w:tr w:rsidR="00FE3AAC" w:rsidRPr="00144C3D" w:rsidTr="009028DD">
        <w:trPr>
          <w:trHeight w:val="765"/>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5</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Nguyên tắc khớp lệnh</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Ưu tiên về giá và thời gian</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Ưu tiên về giá và thời gian</w:t>
            </w:r>
          </w:p>
        </w:tc>
      </w:tr>
      <w:tr w:rsidR="00FE3AAC" w:rsidRPr="00144C3D" w:rsidTr="009028DD">
        <w:trPr>
          <w:trHeight w:val="1485"/>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6</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Bước giá</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Sàn HSX &lt; 10.000 đồng: 10 đồng 10.000 – 49.950: 50 đồng ≥ 50.000: 100 đồng Sàn HNX và UpCom 100 đồng</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0.1 điểm chỉ số (Hợp đồng tương lai chỉ số VN30)</w:t>
            </w:r>
          </w:p>
        </w:tc>
      </w:tr>
      <w:tr w:rsidR="00FE3AAC" w:rsidRPr="00144C3D" w:rsidTr="009028DD">
        <w:trPr>
          <w:trHeight w:val="114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7</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Biên độ dao động giá</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 7% (đối với sàn HOSE) ± 10% (đối với sàn HNX) ± 15% (đối với sàn UPCOM)</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 7%</w:t>
            </w:r>
          </w:p>
        </w:tc>
      </w:tr>
      <w:tr w:rsidR="00FE3AAC" w:rsidRPr="00144C3D" w:rsidTr="009028DD">
        <w:trPr>
          <w:trHeight w:val="306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8</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Giá tham chiếu</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Là giá đóng cửa của cổ phiếu trong phiên giao dịch liền trước.</w:t>
            </w:r>
          </w:p>
          <w:p w:rsidR="00FE3AAC"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giao dịch đầu tiên: mức giá do doanh nghiệp đăng ký và HNX, HOSE phê duyệt.</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20287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Là giá thanh toán cuối ngày của hợp đồng tương lai trong ngày giao dịch liền trước.</w:t>
            </w:r>
          </w:p>
          <w:p w:rsidR="00FE3AAC" w:rsidRPr="00144C3D" w:rsidRDefault="00FE3AAC" w:rsidP="00202874">
            <w:p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Ngày giao dịch đầu tiên: là giá lý thuyết (do VSD tính toán và công bố).</w:t>
            </w:r>
          </w:p>
        </w:tc>
      </w:tr>
      <w:tr w:rsidR="00FE3AAC" w:rsidRPr="00144C3D" w:rsidTr="009028DD">
        <w:trPr>
          <w:trHeight w:val="42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9</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Thời gian sở hữu</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Sở hữu tối đa đến ngày đáo hạn</w:t>
            </w:r>
          </w:p>
        </w:tc>
      </w:tr>
      <w:tr w:rsidR="00FE3AAC" w:rsidRPr="00144C3D" w:rsidTr="009028DD">
        <w:trPr>
          <w:trHeight w:val="78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10</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Số lượng niêm yết</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Có giới hạn (phụ thuộc vào tổ chức phát hành cổ phiếu)</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w:t>
            </w:r>
          </w:p>
        </w:tc>
      </w:tr>
      <w:tr w:rsidR="00FE3AAC" w:rsidRPr="00144C3D" w:rsidTr="009028DD">
        <w:trPr>
          <w:trHeight w:val="78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11</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phát hành</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Theo quy mô vốn của các doanh nghiệp</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w:t>
            </w:r>
          </w:p>
        </w:tc>
      </w:tr>
      <w:tr w:rsidR="00FE3AAC" w:rsidRPr="00144C3D" w:rsidTr="009028DD">
        <w:trPr>
          <w:trHeight w:val="114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12</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giao dịch tối thiểu</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Bội số 10 cổ phiếu (đối với sàn HOSE) Bội số 100 cổ phiếu (đối với sàn HNX và UPCOM)</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 hợp đồng</w:t>
            </w:r>
          </w:p>
        </w:tc>
      </w:tr>
      <w:tr w:rsidR="00FE3AAC" w:rsidRPr="00144C3D" w:rsidTr="009028DD">
        <w:trPr>
          <w:trHeight w:val="114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13</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giao dịch tối đa</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500.000 CP/ lệnh đối với sàn HOSE – 999.990 CP/ lệnh đối với sàn HNX và Upcom</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500 hợp đồng/lệnh</w:t>
            </w:r>
          </w:p>
        </w:tc>
      </w:tr>
      <w:tr w:rsidR="00FE3AAC" w:rsidRPr="00144C3D" w:rsidTr="009028DD">
        <w:trPr>
          <w:trHeight w:val="234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14</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Khối lượng nắm giữ tối đa</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Không giới hạn, trừ một số trường hợp đặc biệt hạn chế tỷ lệ nắm giữ của nhà đầu tư nước ngoài.</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numPr>
                <w:ilvl w:val="0"/>
                <w:numId w:val="5"/>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Nhà đầu tư cá nhân: 5.000 hđ</w:t>
            </w:r>
          </w:p>
          <w:p w:rsidR="00FE3AAC" w:rsidRPr="00144C3D" w:rsidRDefault="00FE3AAC" w:rsidP="000303F4">
            <w:pPr>
              <w:numPr>
                <w:ilvl w:val="0"/>
                <w:numId w:val="5"/>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Tổ chức: 10.000 hđ</w:t>
            </w:r>
          </w:p>
          <w:p w:rsidR="00FE3AAC" w:rsidRPr="00144C3D" w:rsidRDefault="00FE3AAC" w:rsidP="000303F4">
            <w:pPr>
              <w:numPr>
                <w:ilvl w:val="0"/>
                <w:numId w:val="5"/>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Nhà đầu tư chuyên nghiệp (tổ chức có tư cách pháp nhân): 20.000 hđ</w:t>
            </w:r>
          </w:p>
        </w:tc>
      </w:tr>
      <w:tr w:rsidR="00FE3AAC" w:rsidRPr="00144C3D" w:rsidTr="009028DD">
        <w:trPr>
          <w:trHeight w:val="6180"/>
        </w:trPr>
        <w:tc>
          <w:tcPr>
            <w:tcW w:w="720"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15</w:t>
            </w:r>
          </w:p>
        </w:tc>
        <w:tc>
          <w:tcPr>
            <w:tcW w:w="2637"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Thời gian thanh toán</w:t>
            </w:r>
          </w:p>
        </w:tc>
        <w:tc>
          <w:tcPr>
            <w:tcW w:w="3663"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numPr>
                <w:ilvl w:val="0"/>
                <w:numId w:val="6"/>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T+0: ghi nhận giao dịch</w:t>
            </w:r>
          </w:p>
          <w:p w:rsidR="00FE3AAC" w:rsidRPr="00144C3D" w:rsidRDefault="00FE3AAC" w:rsidP="000303F4">
            <w:pPr>
              <w:numPr>
                <w:ilvl w:val="0"/>
                <w:numId w:val="6"/>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T+1: ngày chờ tiền, cổ phiếu về</w:t>
            </w:r>
          </w:p>
          <w:p w:rsidR="00FE3AAC" w:rsidRPr="00144C3D" w:rsidRDefault="00FE3AAC" w:rsidP="000303F4">
            <w:pPr>
              <w:numPr>
                <w:ilvl w:val="0"/>
                <w:numId w:val="6"/>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T+2: ngày thanh toán</w:t>
            </w:r>
          </w:p>
          <w:p w:rsidR="00FE3AAC" w:rsidRPr="00144C3D" w:rsidRDefault="00FE3AAC" w:rsidP="000303F4">
            <w:pPr>
              <w:numPr>
                <w:ilvl w:val="0"/>
                <w:numId w:val="6"/>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T+3: có thể giao dịch tiếp</w:t>
            </w:r>
          </w:p>
        </w:tc>
        <w:tc>
          <w:tcPr>
            <w:tcW w:w="3985" w:type="dxa"/>
            <w:tcBorders>
              <w:top w:val="single" w:sz="6" w:space="0" w:color="F26522"/>
              <w:left w:val="single" w:sz="6" w:space="0" w:color="F26522"/>
              <w:bottom w:val="single" w:sz="6" w:space="0" w:color="F26522"/>
              <w:right w:val="single" w:sz="6" w:space="0" w:color="F26522"/>
            </w:tcBorders>
            <w:tcMar>
              <w:top w:w="75" w:type="dxa"/>
              <w:left w:w="150" w:type="dxa"/>
              <w:bottom w:w="75" w:type="dxa"/>
              <w:right w:w="150" w:type="dxa"/>
            </w:tcMar>
            <w:vAlign w:val="center"/>
            <w:hideMark/>
          </w:tcPr>
          <w:p w:rsidR="00FE3AAC" w:rsidRPr="00144C3D" w:rsidRDefault="00FE3AAC" w:rsidP="000303F4">
            <w:pPr>
              <w:numPr>
                <w:ilvl w:val="0"/>
                <w:numId w:val="7"/>
              </w:num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T+0: ghi nhận giao dịch. Có thể mua bán liên tục trong ngày</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Ngày T+1: ngày thanh toán lãi/lỗ</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Việc thanh toán thực hiện vào cuối giờ giao dịch hàng ngày.</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Nếu tài khoản lỗ ròng khiến số dư ký quỹ dưới mức quy định, nhà đầu tư phải bổ sung vào sáng ngày giao dịch hôm sau, nếu không sẽ bị buộc đóng vị thế.</w:t>
            </w:r>
          </w:p>
          <w:p w:rsidR="00FE3AAC" w:rsidRPr="00144C3D" w:rsidRDefault="00FE3AAC" w:rsidP="000303F4">
            <w:pPr>
              <w:numPr>
                <w:ilvl w:val="0"/>
                <w:numId w:val="7"/>
              </w:numPr>
              <w:spacing w:before="180"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Nếu tài khoản lãi ròng, nhà đầu tư sẽ được nhận lãi phát sinh vào sáng ngày hôm sau.</w:t>
            </w:r>
          </w:p>
        </w:tc>
      </w:tr>
      <w:tr w:rsidR="00FE3AAC" w:rsidRPr="00144C3D" w:rsidTr="009028DD">
        <w:trPr>
          <w:trHeight w:val="780"/>
        </w:trPr>
        <w:tc>
          <w:tcPr>
            <w:tcW w:w="720"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16</w:t>
            </w:r>
          </w:p>
        </w:tc>
        <w:tc>
          <w:tcPr>
            <w:tcW w:w="2637"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Khả năng bán khống chứng khoán</w:t>
            </w:r>
          </w:p>
        </w:tc>
        <w:tc>
          <w:tcPr>
            <w:tcW w:w="3663"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Chưa được thực hiện</w:t>
            </w:r>
          </w:p>
        </w:tc>
        <w:tc>
          <w:tcPr>
            <w:tcW w:w="3985" w:type="dxa"/>
            <w:tcBorders>
              <w:top w:val="single" w:sz="6" w:space="0" w:color="F26522"/>
              <w:left w:val="single" w:sz="6" w:space="0" w:color="F26522"/>
              <w:bottom w:val="single" w:sz="6" w:space="0" w:color="F26522"/>
              <w:right w:val="single" w:sz="6" w:space="0" w:color="F26522"/>
            </w:tcBorders>
            <w:shd w:val="clear" w:color="auto" w:fill="FBE3D5"/>
            <w:tcMar>
              <w:top w:w="75" w:type="dxa"/>
              <w:left w:w="150" w:type="dxa"/>
              <w:bottom w:w="75" w:type="dxa"/>
              <w:right w:w="150" w:type="dxa"/>
            </w:tcMar>
            <w:vAlign w:val="center"/>
            <w:hideMark/>
          </w:tcPr>
          <w:p w:rsidR="00FE3AAC" w:rsidRPr="00144C3D" w:rsidRDefault="00FE3AAC" w:rsidP="000303F4">
            <w:pPr>
              <w:spacing w:after="0" w:line="240" w:lineRule="auto"/>
              <w:jc w:val="both"/>
              <w:rPr>
                <w:rFonts w:ascii="Times New Roman" w:eastAsia="Times New Roman" w:hAnsi="Times New Roman" w:cs="Times New Roman"/>
                <w:color w:val="000000"/>
                <w:sz w:val="26"/>
                <w:szCs w:val="26"/>
              </w:rPr>
            </w:pPr>
            <w:r w:rsidRPr="00144C3D">
              <w:rPr>
                <w:rFonts w:ascii="Times New Roman" w:eastAsia="Times New Roman" w:hAnsi="Times New Roman" w:cs="Times New Roman"/>
                <w:color w:val="000000"/>
                <w:sz w:val="26"/>
                <w:szCs w:val="26"/>
              </w:rPr>
              <w:t>Thực hiện bằng hình thức Tham gia vị thế bán</w:t>
            </w:r>
          </w:p>
        </w:tc>
      </w:tr>
    </w:tbl>
    <w:p w:rsidR="00D76E52" w:rsidRPr="00144C3D" w:rsidRDefault="00D76E52" w:rsidP="00A17F2A">
      <w:pPr>
        <w:jc w:val="both"/>
        <w:rPr>
          <w:rFonts w:ascii="Times New Roman" w:hAnsi="Times New Roman" w:cs="Times New Roman"/>
          <w:sz w:val="26"/>
          <w:szCs w:val="26"/>
        </w:rPr>
      </w:pPr>
    </w:p>
    <w:sectPr w:rsidR="00D76E52" w:rsidRPr="00144C3D" w:rsidSect="00144C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A31"/>
    <w:multiLevelType w:val="multilevel"/>
    <w:tmpl w:val="481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7228"/>
    <w:multiLevelType w:val="hybridMultilevel"/>
    <w:tmpl w:val="479EE9EE"/>
    <w:lvl w:ilvl="0" w:tplc="089A45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72305"/>
    <w:multiLevelType w:val="multilevel"/>
    <w:tmpl w:val="5B9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54343"/>
    <w:multiLevelType w:val="multilevel"/>
    <w:tmpl w:val="320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B582E"/>
    <w:multiLevelType w:val="hybridMultilevel"/>
    <w:tmpl w:val="DEF87CD6"/>
    <w:lvl w:ilvl="0" w:tplc="0DFCF4BE">
      <w:start w:val="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85962"/>
    <w:multiLevelType w:val="multilevel"/>
    <w:tmpl w:val="7D3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F3943"/>
    <w:multiLevelType w:val="multilevel"/>
    <w:tmpl w:val="F92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44946"/>
    <w:multiLevelType w:val="hybridMultilevel"/>
    <w:tmpl w:val="990E5770"/>
    <w:lvl w:ilvl="0" w:tplc="B05C2C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47299A"/>
    <w:multiLevelType w:val="hybridMultilevel"/>
    <w:tmpl w:val="70CE28EA"/>
    <w:lvl w:ilvl="0" w:tplc="37C886F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E43A10"/>
    <w:multiLevelType w:val="multilevel"/>
    <w:tmpl w:val="5AE4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03468"/>
    <w:multiLevelType w:val="multilevel"/>
    <w:tmpl w:val="764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6"/>
  </w:num>
  <w:num w:numId="5">
    <w:abstractNumId w:val="2"/>
  </w:num>
  <w:num w:numId="6">
    <w:abstractNumId w:val="10"/>
  </w:num>
  <w:num w:numId="7">
    <w:abstractNumId w:val="3"/>
  </w:num>
  <w:num w:numId="8">
    <w:abstractNumId w:val="4"/>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AC"/>
    <w:rsid w:val="000303F4"/>
    <w:rsid w:val="00084028"/>
    <w:rsid w:val="00125D4D"/>
    <w:rsid w:val="00144C3D"/>
    <w:rsid w:val="0016642E"/>
    <w:rsid w:val="00202874"/>
    <w:rsid w:val="00244909"/>
    <w:rsid w:val="0025074A"/>
    <w:rsid w:val="005F6283"/>
    <w:rsid w:val="006A1B7A"/>
    <w:rsid w:val="00755CD6"/>
    <w:rsid w:val="00765D56"/>
    <w:rsid w:val="00800EFA"/>
    <w:rsid w:val="009028DD"/>
    <w:rsid w:val="009A36A3"/>
    <w:rsid w:val="009A3D47"/>
    <w:rsid w:val="00A17F2A"/>
    <w:rsid w:val="00BA0F2D"/>
    <w:rsid w:val="00C25757"/>
    <w:rsid w:val="00CB1E93"/>
    <w:rsid w:val="00D07DF5"/>
    <w:rsid w:val="00D36FA2"/>
    <w:rsid w:val="00D60E7B"/>
    <w:rsid w:val="00D76E52"/>
    <w:rsid w:val="00DA2505"/>
    <w:rsid w:val="00E75D40"/>
    <w:rsid w:val="00EC3899"/>
    <w:rsid w:val="00FE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193A8-6E3E-4C39-BA07-3EFE97E7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3A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A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E3AAC"/>
    <w:rPr>
      <w:b/>
      <w:bCs/>
    </w:rPr>
  </w:style>
  <w:style w:type="paragraph" w:styleId="NormalWeb">
    <w:name w:val="Normal (Web)"/>
    <w:basedOn w:val="Normal"/>
    <w:uiPriority w:val="99"/>
    <w:semiHidden/>
    <w:unhideWhenUsed/>
    <w:rsid w:val="00FE3A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3AAC"/>
    <w:rPr>
      <w:color w:val="0000FF"/>
      <w:u w:val="single"/>
    </w:rPr>
  </w:style>
  <w:style w:type="paragraph" w:styleId="ListParagraph">
    <w:name w:val="List Paragraph"/>
    <w:basedOn w:val="Normal"/>
    <w:uiPriority w:val="34"/>
    <w:qFormat/>
    <w:rsid w:val="00D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69922">
      <w:bodyDiv w:val="1"/>
      <w:marLeft w:val="0"/>
      <w:marRight w:val="0"/>
      <w:marTop w:val="0"/>
      <w:marBottom w:val="0"/>
      <w:divBdr>
        <w:top w:val="none" w:sz="0" w:space="0" w:color="auto"/>
        <w:left w:val="none" w:sz="0" w:space="0" w:color="auto"/>
        <w:bottom w:val="none" w:sz="0" w:space="0" w:color="auto"/>
        <w:right w:val="none" w:sz="0" w:space="0" w:color="auto"/>
      </w:divBdr>
      <w:divsChild>
        <w:div w:id="1589339029">
          <w:marLeft w:val="0"/>
          <w:marRight w:val="0"/>
          <w:marTop w:val="0"/>
          <w:marBottom w:val="0"/>
          <w:divBdr>
            <w:top w:val="none" w:sz="0" w:space="0" w:color="auto"/>
            <w:left w:val="none" w:sz="0" w:space="0" w:color="auto"/>
            <w:bottom w:val="none" w:sz="0" w:space="0" w:color="auto"/>
            <w:right w:val="none" w:sz="0" w:space="0" w:color="auto"/>
          </w:divBdr>
          <w:divsChild>
            <w:div w:id="964312608">
              <w:marLeft w:val="0"/>
              <w:marRight w:val="0"/>
              <w:marTop w:val="600"/>
              <w:marBottom w:val="0"/>
              <w:divBdr>
                <w:top w:val="none" w:sz="0" w:space="0" w:color="auto"/>
                <w:left w:val="none" w:sz="0" w:space="0" w:color="auto"/>
                <w:bottom w:val="none" w:sz="0" w:space="0" w:color="auto"/>
                <w:right w:val="none" w:sz="0" w:space="0" w:color="auto"/>
              </w:divBdr>
              <w:divsChild>
                <w:div w:id="8215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4226">
          <w:marLeft w:val="0"/>
          <w:marRight w:val="0"/>
          <w:marTop w:val="0"/>
          <w:marBottom w:val="0"/>
          <w:divBdr>
            <w:top w:val="none" w:sz="0" w:space="0" w:color="auto"/>
            <w:left w:val="none" w:sz="0" w:space="0" w:color="auto"/>
            <w:bottom w:val="none" w:sz="0" w:space="0" w:color="auto"/>
            <w:right w:val="none" w:sz="0" w:space="0" w:color="auto"/>
          </w:divBdr>
        </w:div>
        <w:div w:id="238489889">
          <w:marLeft w:val="0"/>
          <w:marRight w:val="0"/>
          <w:marTop w:val="0"/>
          <w:marBottom w:val="0"/>
          <w:divBdr>
            <w:top w:val="none" w:sz="0" w:space="0" w:color="auto"/>
            <w:left w:val="none" w:sz="0" w:space="0" w:color="auto"/>
            <w:bottom w:val="none" w:sz="0" w:space="0" w:color="auto"/>
            <w:right w:val="none" w:sz="0" w:space="0" w:color="auto"/>
          </w:divBdr>
          <w:divsChild>
            <w:div w:id="12585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tnhau</dc:creator>
  <cp:keywords/>
  <dc:description/>
  <cp:lastModifiedBy>NL NHÂN</cp:lastModifiedBy>
  <cp:revision>9</cp:revision>
  <dcterms:created xsi:type="dcterms:W3CDTF">2021-01-16T05:07:00Z</dcterms:created>
  <dcterms:modified xsi:type="dcterms:W3CDTF">2021-01-18T03:25:00Z</dcterms:modified>
</cp:coreProperties>
</file>