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F29D" w14:textId="77777777" w:rsidR="00FC44D1" w:rsidRPr="00FC44D1" w:rsidRDefault="00FC44D1" w:rsidP="00FC44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Áp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dụng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phương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tính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giá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hàng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xuất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kho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cho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các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nhóm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hàng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phù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hợp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tại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các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doanh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32"/>
          <w:szCs w:val="32"/>
        </w:rPr>
        <w:t>nghiệp</w:t>
      </w:r>
      <w:proofErr w:type="spellEnd"/>
      <w:r w:rsidRPr="00FC44D1">
        <w:rPr>
          <w:rFonts w:ascii="Times New Roman" w:hAnsi="Times New Roman" w:cs="Times New Roman"/>
          <w:b/>
          <w:bCs/>
          <w:sz w:val="32"/>
          <w:szCs w:val="32"/>
        </w:rPr>
        <w:t xml:space="preserve"> Việt Nam</w:t>
      </w:r>
    </w:p>
    <w:p w14:paraId="53630B50" w14:textId="40F9913F" w:rsidR="00FC44D1" w:rsidRPr="00FC44D1" w:rsidRDefault="00FC44D1" w:rsidP="00FC44D1">
      <w:pPr>
        <w:jc w:val="right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>Ngô Thị Kiều Trang</w:t>
      </w:r>
    </w:p>
    <w:p w14:paraId="31541895" w14:textId="77777777" w:rsidR="00FC44D1" w:rsidRDefault="00FC44D1" w:rsidP="00FC44D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1F5BF5" w14:textId="5738990B" w:rsidR="00FC44D1" w:rsidRPr="00FC44D1" w:rsidRDefault="00FC44D1" w:rsidP="00FC44D1">
      <w:p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>1. G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iới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thiệu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hạch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5017A78F" w14:textId="77777777" w:rsidR="00FC44D1" w:rsidRPr="00FC44D1" w:rsidRDefault="00FC44D1" w:rsidP="00FC44D1">
      <w:p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2. Các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phổ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Việt Nam,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200/2014/TT-BTC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133/2016/TT-BTC,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:</w:t>
      </w:r>
    </w:p>
    <w:p w14:paraId="368405D2" w14:textId="77777777" w:rsidR="00FC44D1" w:rsidRPr="00FC44D1" w:rsidRDefault="00FC44D1" w:rsidP="00FC44D1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Phương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đích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danh</w:t>
      </w:r>
      <w:proofErr w:type="spellEnd"/>
    </w:p>
    <w:p w14:paraId="01E02036" w14:textId="77777777" w:rsidR="00FC44D1" w:rsidRPr="00FC44D1" w:rsidRDefault="00FC44D1" w:rsidP="00FC44D1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Phương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quân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)</w:t>
      </w:r>
    </w:p>
    <w:p w14:paraId="0E405FB5" w14:textId="77777777" w:rsidR="00FC44D1" w:rsidRPr="00FC44D1" w:rsidRDefault="00FC44D1" w:rsidP="00FC44D1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Phương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(FIFO)</w:t>
      </w:r>
    </w:p>
    <w:p w14:paraId="7A929256" w14:textId="77777777" w:rsidR="00FC44D1" w:rsidRPr="00FC44D1" w:rsidRDefault="00FC44D1" w:rsidP="00FC44D1">
      <w:p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nhược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từng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</w:p>
    <w:p w14:paraId="6404EC8B" w14:textId="77777777" w:rsidR="00FC44D1" w:rsidRPr="00FC44D1" w:rsidRDefault="00FC44D1" w:rsidP="00FC44D1">
      <w:p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a. Phương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đích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danh</w:t>
      </w:r>
      <w:proofErr w:type="spellEnd"/>
    </w:p>
    <w:p w14:paraId="2BF381B7" w14:textId="77777777" w:rsidR="00FC44D1" w:rsidRPr="00FC44D1" w:rsidRDefault="00FC44D1" w:rsidP="00FC44D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37C40E91" w14:textId="77777777" w:rsidR="00FC44D1" w:rsidRPr="00FC44D1" w:rsidRDefault="00FC44D1" w:rsidP="00FC44D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Nhược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776F9648" w14:textId="77777777" w:rsidR="00FC44D1" w:rsidRPr="00FC44D1" w:rsidRDefault="00FC44D1" w:rsidP="00FC44D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cộ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0EE53E8C" w14:textId="77777777" w:rsidR="00FC44D1" w:rsidRPr="00FC44D1" w:rsidRDefault="00FC44D1" w:rsidP="00FC44D1">
      <w:p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b. Phương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(FIFO)</w:t>
      </w:r>
    </w:p>
    <w:p w14:paraId="0B9D340A" w14:textId="77777777" w:rsidR="00FC44D1" w:rsidRPr="00FC44D1" w:rsidRDefault="00FC44D1" w:rsidP="00FC44D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28E2196F" w14:textId="77777777" w:rsidR="00FC44D1" w:rsidRPr="00FC44D1" w:rsidRDefault="00FC44D1" w:rsidP="00FC44D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Nhược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Khi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04F67AD7" w14:textId="77777777" w:rsidR="00FC44D1" w:rsidRPr="00FC44D1" w:rsidRDefault="00FC44D1" w:rsidP="00FC44D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lastRenderedPageBreak/>
        <w:t>Ứng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Thích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dược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7ED33077" w14:textId="77777777" w:rsidR="00FC44D1" w:rsidRPr="00FC44D1" w:rsidRDefault="00FC44D1" w:rsidP="00FC44D1">
      <w:p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c. Phương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quân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quyền</w:t>
      </w:r>
      <w:proofErr w:type="spellEnd"/>
    </w:p>
    <w:p w14:paraId="06F74570" w14:textId="77777777" w:rsidR="00FC44D1" w:rsidRPr="00FC44D1" w:rsidRDefault="00FC44D1" w:rsidP="00FC44D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572F8512" w14:textId="77777777" w:rsidR="00FC44D1" w:rsidRPr="00FC44D1" w:rsidRDefault="00FC44D1" w:rsidP="00FC44D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Nhược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5510E3E5" w14:textId="77777777" w:rsidR="00FC44D1" w:rsidRPr="00FC44D1" w:rsidRDefault="00FC44D1" w:rsidP="00FC44D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xi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măng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xăng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343AE0AB" w14:textId="77777777" w:rsidR="00FC44D1" w:rsidRPr="00FC44D1" w:rsidRDefault="00FC44D1" w:rsidP="00FC44D1">
      <w:p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Ảnh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hưởng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kho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:</w:t>
      </w:r>
    </w:p>
    <w:p w14:paraId="51C9C428" w14:textId="77777777" w:rsidR="00FC44D1" w:rsidRPr="00FC44D1" w:rsidRDefault="00FC44D1" w:rsidP="00FC44D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>FIFO</w:t>
      </w:r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447709AC" w14:textId="77777777" w:rsidR="00FC44D1" w:rsidRPr="00FC44D1" w:rsidRDefault="00FC44D1" w:rsidP="00FC44D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Bình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quân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25BAEED7" w14:textId="77777777" w:rsidR="00FC44D1" w:rsidRPr="00FC44D1" w:rsidRDefault="00FC44D1" w:rsidP="00FC44D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đích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danh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0F698267" w14:textId="77777777" w:rsidR="00FC44D1" w:rsidRPr="00FC44D1" w:rsidRDefault="00FC44D1" w:rsidP="00FC44D1">
      <w:p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5DBC6A28" w14:textId="4F7B8CB9" w:rsidR="00FC44D1" w:rsidRPr="00FC44D1" w:rsidRDefault="00FC44D1" w:rsidP="00EE16DB">
      <w:pPr>
        <w:jc w:val="center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Tài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FC4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b/>
          <w:bCs/>
          <w:sz w:val="26"/>
          <w:szCs w:val="26"/>
        </w:rPr>
        <w:t>khảo</w:t>
      </w:r>
      <w:proofErr w:type="spellEnd"/>
    </w:p>
    <w:p w14:paraId="204157FA" w14:textId="77777777" w:rsidR="00FC44D1" w:rsidRPr="00FC44D1" w:rsidRDefault="00FC44D1" w:rsidP="00FC44D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(2014). Thông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200/2014/TT-BTC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05D8C453" w14:textId="77777777" w:rsidR="00FC44D1" w:rsidRPr="00FC44D1" w:rsidRDefault="00FC44D1" w:rsidP="00FC44D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(2016). Thông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133/2016/TT-BTC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67F067F6" w14:textId="77777777" w:rsidR="00FC44D1" w:rsidRPr="00FC44D1" w:rsidRDefault="00FC44D1" w:rsidP="00FC44D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sz w:val="26"/>
          <w:szCs w:val="26"/>
        </w:rPr>
        <w:t xml:space="preserve">Nguyễn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Bình (2020). Quản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>.</w:t>
      </w:r>
    </w:p>
    <w:p w14:paraId="0CD130F8" w14:textId="77777777" w:rsidR="00FC44D1" w:rsidRPr="00FC44D1" w:rsidRDefault="00FC44D1" w:rsidP="00FC44D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Văn Dũng (2021).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Kinh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TP. </w:t>
      </w:r>
      <w:proofErr w:type="spellStart"/>
      <w:r w:rsidRPr="00FC44D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FC44D1">
        <w:rPr>
          <w:rFonts w:ascii="Times New Roman" w:hAnsi="Times New Roman" w:cs="Times New Roman"/>
          <w:sz w:val="26"/>
          <w:szCs w:val="26"/>
        </w:rPr>
        <w:t xml:space="preserve"> Chí Minh.</w:t>
      </w:r>
    </w:p>
    <w:p w14:paraId="50506373" w14:textId="77777777" w:rsidR="00FC44D1" w:rsidRPr="00FC44D1" w:rsidRDefault="00FC44D1" w:rsidP="00FC44D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44D1">
        <w:rPr>
          <w:rFonts w:ascii="Times New Roman" w:hAnsi="Times New Roman" w:cs="Times New Roman"/>
          <w:sz w:val="26"/>
          <w:szCs w:val="26"/>
        </w:rPr>
        <w:t>IFRS Foundation (2023). International Financial Reporting Standards (IFRS).</w:t>
      </w:r>
    </w:p>
    <w:sectPr w:rsidR="00FC44D1" w:rsidRPr="00FC44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853B" w14:textId="77777777" w:rsidR="003C6B84" w:rsidRDefault="003C6B84" w:rsidP="00FC44D1">
      <w:pPr>
        <w:spacing w:after="0" w:line="240" w:lineRule="auto"/>
      </w:pPr>
      <w:r>
        <w:separator/>
      </w:r>
    </w:p>
  </w:endnote>
  <w:endnote w:type="continuationSeparator" w:id="0">
    <w:p w14:paraId="10C6DBA8" w14:textId="77777777" w:rsidR="003C6B84" w:rsidRDefault="003C6B84" w:rsidP="00FC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2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A8A52" w14:textId="7F167FEA" w:rsidR="00FC44D1" w:rsidRDefault="00FC44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AC8C7" w14:textId="77777777" w:rsidR="00FC44D1" w:rsidRDefault="00FC4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72AF" w14:textId="77777777" w:rsidR="003C6B84" w:rsidRDefault="003C6B84" w:rsidP="00FC44D1">
      <w:pPr>
        <w:spacing w:after="0" w:line="240" w:lineRule="auto"/>
      </w:pPr>
      <w:r>
        <w:separator/>
      </w:r>
    </w:p>
  </w:footnote>
  <w:footnote w:type="continuationSeparator" w:id="0">
    <w:p w14:paraId="5A2E702C" w14:textId="77777777" w:rsidR="003C6B84" w:rsidRDefault="003C6B84" w:rsidP="00FC4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58FE"/>
    <w:multiLevelType w:val="multilevel"/>
    <w:tmpl w:val="9B7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492D"/>
    <w:multiLevelType w:val="multilevel"/>
    <w:tmpl w:val="F20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E71D1"/>
    <w:multiLevelType w:val="multilevel"/>
    <w:tmpl w:val="57F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14723"/>
    <w:multiLevelType w:val="multilevel"/>
    <w:tmpl w:val="78A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653CB"/>
    <w:multiLevelType w:val="multilevel"/>
    <w:tmpl w:val="D2CA4E5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950E9"/>
    <w:multiLevelType w:val="multilevel"/>
    <w:tmpl w:val="930E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D3EF9"/>
    <w:multiLevelType w:val="multilevel"/>
    <w:tmpl w:val="4B42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489627">
    <w:abstractNumId w:val="4"/>
  </w:num>
  <w:num w:numId="2" w16cid:durableId="1319845581">
    <w:abstractNumId w:val="1"/>
  </w:num>
  <w:num w:numId="3" w16cid:durableId="768618018">
    <w:abstractNumId w:val="2"/>
  </w:num>
  <w:num w:numId="4" w16cid:durableId="607468843">
    <w:abstractNumId w:val="3"/>
  </w:num>
  <w:num w:numId="5" w16cid:durableId="1234004912">
    <w:abstractNumId w:val="5"/>
  </w:num>
  <w:num w:numId="6" w16cid:durableId="889925460">
    <w:abstractNumId w:val="0"/>
  </w:num>
  <w:num w:numId="7" w16cid:durableId="1923757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D1"/>
    <w:rsid w:val="00135046"/>
    <w:rsid w:val="002C2A47"/>
    <w:rsid w:val="003C6B84"/>
    <w:rsid w:val="00DF15C9"/>
    <w:rsid w:val="00EE16DB"/>
    <w:rsid w:val="00F23D9F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37C1"/>
  <w15:chartTrackingRefBased/>
  <w15:docId w15:val="{C2160344-CF81-472E-A529-215A29D0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4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4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4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4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4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4D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4D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4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4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4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4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4D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D1"/>
  </w:style>
  <w:style w:type="paragraph" w:styleId="Footer">
    <w:name w:val="footer"/>
    <w:basedOn w:val="Normal"/>
    <w:link w:val="FooterChar"/>
    <w:uiPriority w:val="99"/>
    <w:unhideWhenUsed/>
    <w:rsid w:val="00FC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2025-03-14T07:08:00Z</dcterms:created>
  <dcterms:modified xsi:type="dcterms:W3CDTF">2025-03-14T07:19:00Z</dcterms:modified>
</cp:coreProperties>
</file>