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E9F" w:rsidRDefault="00976E9F" w:rsidP="0098655B">
      <w:pPr>
        <w:shd w:val="clear" w:color="auto" w:fill="FFFFFF"/>
        <w:spacing w:before="120" w:after="120" w:line="240" w:lineRule="auto"/>
        <w:jc w:val="center"/>
        <w:rPr>
          <w:rFonts w:ascii="Times New Roman" w:eastAsia="Times New Roman" w:hAnsi="Times New Roman" w:cs="Times New Roman"/>
          <w:b/>
          <w:bCs/>
          <w:color w:val="000000"/>
          <w:sz w:val="26"/>
          <w:szCs w:val="26"/>
        </w:rPr>
      </w:pPr>
      <w:bookmarkStart w:id="0" w:name="dieu_4"/>
      <w:bookmarkStart w:id="1" w:name="_GoBack"/>
      <w:bookmarkEnd w:id="1"/>
      <w:r w:rsidRPr="0098655B">
        <w:rPr>
          <w:rFonts w:ascii="Times New Roman" w:eastAsia="Times New Roman" w:hAnsi="Times New Roman" w:cs="Times New Roman"/>
          <w:b/>
          <w:bCs/>
          <w:color w:val="000000"/>
          <w:sz w:val="26"/>
          <w:szCs w:val="26"/>
        </w:rPr>
        <w:t xml:space="preserve">QUY ĐỊNH VỀ TRÍCH LẬP DỰ PHÒNG </w:t>
      </w:r>
      <w:bookmarkStart w:id="2" w:name="loai_1_name"/>
      <w:r w:rsidRPr="0098655B">
        <w:rPr>
          <w:rFonts w:ascii="Times New Roman" w:hAnsi="Times New Roman" w:cs="Times New Roman"/>
          <w:b/>
          <w:color w:val="000000"/>
          <w:sz w:val="26"/>
          <w:szCs w:val="26"/>
          <w:shd w:val="clear" w:color="auto" w:fill="FFFFFF"/>
          <w:lang w:val="vi-VN"/>
        </w:rPr>
        <w:t xml:space="preserve">GIẢM GIÁ HÀNG TỒN KHO, TỔN THẤT CÁC KHOẢN ĐẦU TƯ, NỢ PHẢI THU KHÓ ĐÒI VÀ BẢO HÀNH SẢN PHẨM, HÀNG HÓA, DỊCH VỤ, CÔNG TRÌNH XÂY DỰNG </w:t>
      </w:r>
      <w:bookmarkEnd w:id="2"/>
    </w:p>
    <w:p w:rsidR="0098655B" w:rsidRPr="0098655B" w:rsidRDefault="0098655B" w:rsidP="0098655B">
      <w:pPr>
        <w:shd w:val="clear" w:color="auto" w:fill="FFFFFF"/>
        <w:spacing w:before="120" w:after="120" w:line="240" w:lineRule="auto"/>
        <w:jc w:val="center"/>
        <w:rPr>
          <w:rFonts w:ascii="Times New Roman" w:eastAsia="Times New Roman" w:hAnsi="Times New Roman" w:cs="Times New Roman"/>
          <w:color w:val="000000"/>
          <w:sz w:val="26"/>
          <w:szCs w:val="26"/>
          <w:lang w:val="vi-VN"/>
        </w:rPr>
      </w:pPr>
    </w:p>
    <w:p w:rsidR="0098655B" w:rsidRPr="0098655B" w:rsidRDefault="0098655B" w:rsidP="0098655B">
      <w:pPr>
        <w:shd w:val="clear" w:color="auto" w:fill="FFFFFF"/>
        <w:spacing w:before="120" w:after="120" w:line="240" w:lineRule="auto"/>
        <w:ind w:firstLine="720"/>
        <w:jc w:val="both"/>
        <w:rPr>
          <w:rFonts w:ascii="Times New Roman" w:eastAsia="Times New Roman" w:hAnsi="Times New Roman" w:cs="Times New Roman"/>
          <w:color w:val="000000"/>
          <w:sz w:val="26"/>
          <w:szCs w:val="26"/>
          <w:lang w:val="vi-VN"/>
        </w:rPr>
      </w:pPr>
      <w:r w:rsidRPr="0098655B">
        <w:rPr>
          <w:rFonts w:ascii="Times New Roman" w:eastAsia="Times New Roman" w:hAnsi="Times New Roman" w:cs="Times New Roman"/>
          <w:color w:val="000000"/>
          <w:sz w:val="26"/>
          <w:szCs w:val="26"/>
          <w:lang w:val="vi-VN"/>
        </w:rPr>
        <w:t>Trong kế toán, trích lập dự phòng là một bước công việc rất quan trọng, nó giúp đánh giá được tình hình kinh doanh cũng như xem xét các khoản thất thu từ giá trị tài sản hoặc nợ xấu trong một khoảng thời gian cụ thể. Do đó, muốn trích lập đúng khác khản tổn thất thì kế toán tại doanh nghiệp phải nắm rất rõ quy định về trích lập dự phòng do Bộ Tài chính ban hành, bài viết giới thiệu quy định về trích lập dự phòng có hiệu lực trong hiện tại</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b/>
          <w:bCs/>
          <w:color w:val="000000"/>
          <w:sz w:val="26"/>
          <w:szCs w:val="26"/>
          <w:lang w:val="vi-VN"/>
        </w:rPr>
        <w:t>Dự phòng giảm giá hàng tồn kho</w:t>
      </w:r>
      <w:bookmarkEnd w:id="0"/>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1. Đối tượng lập dự phòng bao gồm nguyên liệu, vật liệu, công cụ, dụng cụ, hàng hóa, hàng mua đang đi đường, hàng gửi đi bán, hàng hóa kho bảo thu</w:t>
      </w:r>
      <w:r w:rsidRPr="00976E9F">
        <w:rPr>
          <w:rFonts w:ascii="Times New Roman" w:eastAsia="Times New Roman" w:hAnsi="Times New Roman" w:cs="Times New Roman"/>
          <w:color w:val="000000"/>
          <w:sz w:val="26"/>
          <w:szCs w:val="26"/>
        </w:rPr>
        <w:t>ế</w:t>
      </w:r>
      <w:r w:rsidRPr="00976E9F">
        <w:rPr>
          <w:rFonts w:ascii="Times New Roman" w:eastAsia="Times New Roman" w:hAnsi="Times New Roman" w:cs="Times New Roman"/>
          <w:color w:val="000000"/>
          <w:sz w:val="26"/>
          <w:szCs w:val="26"/>
          <w:lang w:val="vi-VN"/>
        </w:rPr>
        <w:t>, thành phẩm (sau đây gọi tắt là hàng tồn kho) mà giá gốc ghi trên sổ kế toán cao hơn giá trị thuần có thể thực hiện được và đảm bảo điều kiện sau:</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 Có hóa đ</w:t>
      </w:r>
      <w:r w:rsidRPr="00976E9F">
        <w:rPr>
          <w:rFonts w:ascii="Times New Roman" w:eastAsia="Times New Roman" w:hAnsi="Times New Roman" w:cs="Times New Roman"/>
          <w:color w:val="000000"/>
          <w:sz w:val="26"/>
          <w:szCs w:val="26"/>
        </w:rPr>
        <w:t>ơ</w:t>
      </w:r>
      <w:r w:rsidRPr="00976E9F">
        <w:rPr>
          <w:rFonts w:ascii="Times New Roman" w:eastAsia="Times New Roman" w:hAnsi="Times New Roman" w:cs="Times New Roman"/>
          <w:color w:val="000000"/>
          <w:sz w:val="26"/>
          <w:szCs w:val="26"/>
          <w:lang w:val="vi-VN"/>
        </w:rPr>
        <w:t>n, chứng từ hợp pháp theo quy định của Bộ Tài chính hoặc các bằng chứng hợp lý khác chứng minh giá vốn hàng tồn kho.</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 Là hàng tồn kho thuộc quyền sở hữu của doanh nghiệp tại thời điểm lập báo cáo tài chính năm.</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2. Mức trích lập dự phòng tính theo công thức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99"/>
        <w:gridCol w:w="600"/>
        <w:gridCol w:w="2099"/>
        <w:gridCol w:w="601"/>
        <w:gridCol w:w="2000"/>
        <w:gridCol w:w="499"/>
        <w:gridCol w:w="1698"/>
      </w:tblGrid>
      <w:tr w:rsidR="00976E9F" w:rsidRPr="00976E9F" w:rsidTr="00976E9F">
        <w:trPr>
          <w:tblCellSpacing w:w="0" w:type="dxa"/>
        </w:trPr>
        <w:tc>
          <w:tcPr>
            <w:tcW w:w="1050" w:type="pct"/>
            <w:shd w:val="clear" w:color="auto" w:fill="FFFFFF"/>
            <w:tcMar>
              <w:top w:w="0" w:type="dxa"/>
              <w:left w:w="108" w:type="dxa"/>
              <w:bottom w:w="0" w:type="dxa"/>
              <w:right w:w="108" w:type="dxa"/>
            </w:tcMar>
            <w:vAlign w:val="center"/>
            <w:hideMark/>
          </w:tcPr>
          <w:p w:rsidR="00976E9F" w:rsidRPr="00976E9F" w:rsidRDefault="00976E9F" w:rsidP="0098655B">
            <w:pPr>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Mức trích dự phòng giảm giá hàng tồn kho</w:t>
            </w:r>
          </w:p>
        </w:tc>
        <w:tc>
          <w:tcPr>
            <w:tcW w:w="300" w:type="pct"/>
            <w:shd w:val="clear" w:color="auto" w:fill="FFFFFF"/>
            <w:tcMar>
              <w:top w:w="0" w:type="dxa"/>
              <w:left w:w="108" w:type="dxa"/>
              <w:bottom w:w="0" w:type="dxa"/>
              <w:right w:w="108" w:type="dxa"/>
            </w:tcMar>
            <w:vAlign w:val="center"/>
            <w:hideMark/>
          </w:tcPr>
          <w:p w:rsidR="00976E9F" w:rsidRPr="00976E9F" w:rsidRDefault="00976E9F" w:rsidP="0098655B">
            <w:pPr>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rPr>
              <w:t>=</w:t>
            </w:r>
          </w:p>
        </w:tc>
        <w:tc>
          <w:tcPr>
            <w:tcW w:w="1050" w:type="pct"/>
            <w:shd w:val="clear" w:color="auto" w:fill="FFFFFF"/>
            <w:tcMar>
              <w:top w:w="0" w:type="dxa"/>
              <w:left w:w="108" w:type="dxa"/>
              <w:bottom w:w="0" w:type="dxa"/>
              <w:right w:w="108" w:type="dxa"/>
            </w:tcMar>
            <w:vAlign w:val="center"/>
            <w:hideMark/>
          </w:tcPr>
          <w:p w:rsidR="00976E9F" w:rsidRPr="00976E9F" w:rsidRDefault="00976E9F" w:rsidP="0098655B">
            <w:pPr>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Lượng hàng tồn kho thực tế tại thời điểm lập báo cáo tài chính năm</w:t>
            </w:r>
          </w:p>
        </w:tc>
        <w:tc>
          <w:tcPr>
            <w:tcW w:w="300" w:type="pc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976E9F" w:rsidRPr="00976E9F" w:rsidRDefault="00976E9F" w:rsidP="0098655B">
            <w:pPr>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rPr>
              <w:t>x</w:t>
            </w:r>
          </w:p>
        </w:tc>
        <w:tc>
          <w:tcPr>
            <w:tcW w:w="1000" w:type="pct"/>
            <w:shd w:val="clear" w:color="auto" w:fill="FFFFFF"/>
            <w:tcMar>
              <w:top w:w="0" w:type="dxa"/>
              <w:left w:w="108" w:type="dxa"/>
              <w:bottom w:w="0" w:type="dxa"/>
              <w:right w:w="108" w:type="dxa"/>
            </w:tcMar>
            <w:vAlign w:val="center"/>
            <w:hideMark/>
          </w:tcPr>
          <w:p w:rsidR="00976E9F" w:rsidRPr="00976E9F" w:rsidRDefault="00976E9F" w:rsidP="0098655B">
            <w:pPr>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Giá gốc hàng tồn kho theo sổ kế toán</w:t>
            </w:r>
          </w:p>
        </w:tc>
        <w:tc>
          <w:tcPr>
            <w:tcW w:w="250" w:type="pct"/>
            <w:shd w:val="clear" w:color="auto" w:fill="FFFFFF"/>
            <w:tcMar>
              <w:top w:w="0" w:type="dxa"/>
              <w:left w:w="108" w:type="dxa"/>
              <w:bottom w:w="0" w:type="dxa"/>
              <w:right w:w="108" w:type="dxa"/>
            </w:tcMar>
            <w:vAlign w:val="center"/>
            <w:hideMark/>
          </w:tcPr>
          <w:p w:rsidR="00976E9F" w:rsidRPr="00976E9F" w:rsidRDefault="00976E9F" w:rsidP="0098655B">
            <w:pPr>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rPr>
              <w:t>-</w:t>
            </w:r>
          </w:p>
        </w:tc>
        <w:tc>
          <w:tcPr>
            <w:tcW w:w="850" w:type="pc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976E9F" w:rsidRPr="00976E9F" w:rsidRDefault="00976E9F" w:rsidP="0098655B">
            <w:pPr>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Giá trị thuần có thể thực hiện được của hàng tồn kho</w:t>
            </w:r>
          </w:p>
        </w:tc>
      </w:tr>
    </w:tbl>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bookmarkStart w:id="3" w:name="dieu_5"/>
      <w:r w:rsidRPr="00976E9F">
        <w:rPr>
          <w:rFonts w:ascii="Times New Roman" w:eastAsia="Times New Roman" w:hAnsi="Times New Roman" w:cs="Times New Roman"/>
          <w:b/>
          <w:bCs/>
          <w:color w:val="000000"/>
          <w:sz w:val="26"/>
          <w:szCs w:val="26"/>
          <w:lang w:val="vi-VN"/>
        </w:rPr>
        <w:t>Dự phòng tổn thất các khoản đầu tư</w:t>
      </w:r>
      <w:bookmarkEnd w:id="3"/>
    </w:p>
    <w:p w:rsidR="00976E9F" w:rsidRPr="0098655B" w:rsidRDefault="0098655B" w:rsidP="0098655B">
      <w:pPr>
        <w:pStyle w:val="NormalWeb"/>
        <w:shd w:val="clear" w:color="auto" w:fill="FFFFFF"/>
        <w:spacing w:before="120" w:beforeAutospacing="0" w:after="120" w:afterAutospacing="0"/>
        <w:jc w:val="both"/>
        <w:textAlignment w:val="top"/>
        <w:rPr>
          <w:color w:val="3B3B3B"/>
          <w:sz w:val="26"/>
          <w:szCs w:val="26"/>
        </w:rPr>
      </w:pPr>
      <w:r w:rsidRPr="0098655B">
        <w:rPr>
          <w:color w:val="3B3B3B"/>
          <w:sz w:val="26"/>
          <w:szCs w:val="26"/>
        </w:rPr>
        <w:t>1</w:t>
      </w:r>
      <w:r w:rsidR="00976E9F" w:rsidRPr="0098655B">
        <w:rPr>
          <w:color w:val="3B3B3B"/>
          <w:sz w:val="26"/>
          <w:szCs w:val="26"/>
        </w:rPr>
        <w:t>) Đối tượng lập dự phòng là các loại chứng khoán do các tổ chức kinh tế trong nước phát hành theo quy định của pháp luật, thuộc sở hữu của doanh nghiệp, đang được niêm yết hoặc đăng ký giao dịch trên thị trường chứng khoán trong nước, được tự do mua bán trên thị trường và giá chứng khoán thực tế trên thị trường tại thời điểm lập báo cáo tài chính năm thấp hơn giá trị của khoản đầu tư chứng khoán đang hạch toán trên sổ kế toán.</w:t>
      </w:r>
    </w:p>
    <w:p w:rsidR="00976E9F" w:rsidRPr="0098655B" w:rsidRDefault="00976E9F" w:rsidP="0098655B">
      <w:pPr>
        <w:pStyle w:val="NormalWeb"/>
        <w:shd w:val="clear" w:color="auto" w:fill="FFFFFF"/>
        <w:spacing w:before="120" w:beforeAutospacing="0" w:after="120" w:afterAutospacing="0"/>
        <w:jc w:val="both"/>
        <w:textAlignment w:val="top"/>
        <w:rPr>
          <w:color w:val="3B3B3B"/>
          <w:sz w:val="26"/>
          <w:szCs w:val="26"/>
        </w:rPr>
      </w:pPr>
      <w:r w:rsidRPr="0098655B">
        <w:rPr>
          <w:color w:val="3B3B3B"/>
          <w:sz w:val="26"/>
          <w:szCs w:val="26"/>
        </w:rPr>
        <w:t>Đối tượng lập dự phòng nêu trên không bao gồm trái phiếu Chính phủ, trái phiếu được Chính phủ bảo lãnh, trái phiếu chính quyền địa phương.”</w:t>
      </w:r>
    </w:p>
    <w:p w:rsidR="00976E9F" w:rsidRPr="00976E9F" w:rsidRDefault="00976E9F" w:rsidP="0098655B">
      <w:pPr>
        <w:shd w:val="clear" w:color="auto" w:fill="FFFFFF"/>
        <w:spacing w:before="120" w:after="120" w:line="240" w:lineRule="auto"/>
        <w:textAlignment w:val="top"/>
        <w:rPr>
          <w:rFonts w:ascii="Times New Roman" w:eastAsia="Times New Roman" w:hAnsi="Times New Roman" w:cs="Times New Roman"/>
          <w:color w:val="3B3B3B"/>
          <w:sz w:val="26"/>
          <w:szCs w:val="26"/>
        </w:rPr>
      </w:pPr>
      <w:r w:rsidRPr="0098655B">
        <w:rPr>
          <w:rFonts w:ascii="Times New Roman" w:eastAsia="Times New Roman" w:hAnsi="Times New Roman" w:cs="Times New Roman"/>
          <w:color w:val="3B3B3B"/>
          <w:sz w:val="26"/>
          <w:szCs w:val="26"/>
        </w:rPr>
        <w:t xml:space="preserve"> </w:t>
      </w:r>
      <w:r w:rsidR="0098655B" w:rsidRPr="0098655B">
        <w:rPr>
          <w:rFonts w:ascii="Times New Roman" w:eastAsia="Times New Roman" w:hAnsi="Times New Roman" w:cs="Times New Roman"/>
          <w:color w:val="3B3B3B"/>
          <w:sz w:val="26"/>
          <w:szCs w:val="26"/>
        </w:rPr>
        <w:t>2</w:t>
      </w:r>
      <w:r w:rsidRPr="00976E9F">
        <w:rPr>
          <w:rFonts w:ascii="Times New Roman" w:eastAsia="Times New Roman" w:hAnsi="Times New Roman" w:cs="Times New Roman"/>
          <w:color w:val="3B3B3B"/>
          <w:sz w:val="26"/>
          <w:szCs w:val="26"/>
        </w:rPr>
        <w:t>) Mức trích lập dự phòng giảm giá đầu tư chứng khoán được tính theo công thức sau:</w:t>
      </w:r>
    </w:p>
    <w:tbl>
      <w:tblPr>
        <w:tblW w:w="9932" w:type="dxa"/>
        <w:shd w:val="clear" w:color="auto" w:fill="FFFFFF"/>
        <w:tblCellMar>
          <w:left w:w="0" w:type="dxa"/>
          <w:right w:w="0" w:type="dxa"/>
        </w:tblCellMar>
        <w:tblLook w:val="04A0" w:firstRow="1" w:lastRow="0" w:firstColumn="1" w:lastColumn="0" w:noHBand="0" w:noVBand="1"/>
      </w:tblPr>
      <w:tblGrid>
        <w:gridCol w:w="1617"/>
        <w:gridCol w:w="431"/>
        <w:gridCol w:w="2286"/>
        <w:gridCol w:w="337"/>
        <w:gridCol w:w="2462"/>
        <w:gridCol w:w="307"/>
        <w:gridCol w:w="2492"/>
      </w:tblGrid>
      <w:tr w:rsidR="00976E9F" w:rsidRPr="00976E9F" w:rsidTr="00976E9F">
        <w:trPr>
          <w:trHeight w:val="1300"/>
        </w:trPr>
        <w:tc>
          <w:tcPr>
            <w:tcW w:w="1617" w:type="dxa"/>
            <w:tcBorders>
              <w:top w:val="nil"/>
              <w:left w:val="nil"/>
              <w:bottom w:val="nil"/>
              <w:right w:val="nil"/>
            </w:tcBorders>
            <w:shd w:val="clear" w:color="auto" w:fill="auto"/>
            <w:hideMark/>
          </w:tcPr>
          <w:p w:rsidR="00976E9F" w:rsidRPr="00976E9F" w:rsidRDefault="00976E9F" w:rsidP="0098655B">
            <w:pPr>
              <w:spacing w:before="120" w:after="120" w:line="240" w:lineRule="auto"/>
              <w:textAlignment w:val="top"/>
              <w:rPr>
                <w:rFonts w:ascii="Times New Roman" w:eastAsia="Times New Roman" w:hAnsi="Times New Roman" w:cs="Times New Roman"/>
                <w:color w:val="3B3B3B"/>
                <w:sz w:val="26"/>
                <w:szCs w:val="26"/>
              </w:rPr>
            </w:pPr>
            <w:r w:rsidRPr="00976E9F">
              <w:rPr>
                <w:rFonts w:ascii="Times New Roman" w:eastAsia="Times New Roman" w:hAnsi="Times New Roman" w:cs="Times New Roman"/>
                <w:color w:val="3B3B3B"/>
                <w:sz w:val="26"/>
                <w:szCs w:val="26"/>
              </w:rPr>
              <w:lastRenderedPageBreak/>
              <w:t>Mức trích dự phòng giảm giá đầu tư chứng khoán</w:t>
            </w:r>
          </w:p>
        </w:tc>
        <w:tc>
          <w:tcPr>
            <w:tcW w:w="431" w:type="dxa"/>
            <w:tcBorders>
              <w:top w:val="nil"/>
              <w:left w:val="nil"/>
              <w:bottom w:val="nil"/>
              <w:right w:val="nil"/>
            </w:tcBorders>
            <w:shd w:val="clear" w:color="auto" w:fill="auto"/>
            <w:hideMark/>
          </w:tcPr>
          <w:p w:rsidR="00976E9F" w:rsidRPr="00976E9F" w:rsidRDefault="00976E9F" w:rsidP="0098655B">
            <w:pPr>
              <w:spacing w:before="120" w:after="120" w:line="240" w:lineRule="auto"/>
              <w:textAlignment w:val="top"/>
              <w:rPr>
                <w:rFonts w:ascii="Times New Roman" w:eastAsia="Times New Roman" w:hAnsi="Times New Roman" w:cs="Times New Roman"/>
                <w:color w:val="3B3B3B"/>
                <w:sz w:val="26"/>
                <w:szCs w:val="26"/>
              </w:rPr>
            </w:pPr>
            <w:r w:rsidRPr="00976E9F">
              <w:rPr>
                <w:rFonts w:ascii="Times New Roman" w:eastAsia="Times New Roman" w:hAnsi="Times New Roman" w:cs="Times New Roman"/>
                <w:color w:val="3B3B3B"/>
                <w:sz w:val="26"/>
                <w:szCs w:val="26"/>
              </w:rPr>
              <w:t>=</w:t>
            </w:r>
          </w:p>
        </w:tc>
        <w:tc>
          <w:tcPr>
            <w:tcW w:w="2286" w:type="dxa"/>
            <w:tcBorders>
              <w:top w:val="nil"/>
              <w:left w:val="nil"/>
              <w:bottom w:val="nil"/>
              <w:right w:val="nil"/>
            </w:tcBorders>
            <w:shd w:val="clear" w:color="auto" w:fill="auto"/>
            <w:hideMark/>
          </w:tcPr>
          <w:p w:rsidR="00976E9F" w:rsidRPr="00976E9F" w:rsidRDefault="00976E9F" w:rsidP="0098655B">
            <w:pPr>
              <w:spacing w:before="120" w:after="120" w:line="240" w:lineRule="auto"/>
              <w:textAlignment w:val="top"/>
              <w:rPr>
                <w:rFonts w:ascii="Times New Roman" w:eastAsia="Times New Roman" w:hAnsi="Times New Roman" w:cs="Times New Roman"/>
                <w:color w:val="3B3B3B"/>
                <w:sz w:val="26"/>
                <w:szCs w:val="26"/>
              </w:rPr>
            </w:pPr>
            <w:r w:rsidRPr="00976E9F">
              <w:rPr>
                <w:rFonts w:ascii="Times New Roman" w:eastAsia="Times New Roman" w:hAnsi="Times New Roman" w:cs="Times New Roman"/>
                <w:color w:val="3B3B3B"/>
                <w:sz w:val="26"/>
                <w:szCs w:val="26"/>
              </w:rPr>
              <w:t>Giá trị khoản đầu tư chứng khoán đang hạch toán trên sổ kế toán của doanh nghiệp tại thời điểm lập báo cáo tài chính năm</w:t>
            </w:r>
          </w:p>
        </w:tc>
        <w:tc>
          <w:tcPr>
            <w:tcW w:w="337" w:type="dxa"/>
            <w:tcBorders>
              <w:top w:val="nil"/>
              <w:left w:val="nil"/>
              <w:bottom w:val="nil"/>
              <w:right w:val="nil"/>
            </w:tcBorders>
            <w:shd w:val="clear" w:color="auto" w:fill="auto"/>
            <w:hideMark/>
          </w:tcPr>
          <w:p w:rsidR="00976E9F" w:rsidRPr="00976E9F" w:rsidRDefault="00976E9F" w:rsidP="0098655B">
            <w:pPr>
              <w:spacing w:before="120" w:after="120" w:line="240" w:lineRule="auto"/>
              <w:textAlignment w:val="top"/>
              <w:rPr>
                <w:rFonts w:ascii="Times New Roman" w:eastAsia="Times New Roman" w:hAnsi="Times New Roman" w:cs="Times New Roman"/>
                <w:color w:val="3B3B3B"/>
                <w:sz w:val="26"/>
                <w:szCs w:val="26"/>
              </w:rPr>
            </w:pPr>
            <w:r w:rsidRPr="00976E9F">
              <w:rPr>
                <w:rFonts w:ascii="Times New Roman" w:eastAsia="Times New Roman" w:hAnsi="Times New Roman" w:cs="Times New Roman"/>
                <w:color w:val="3B3B3B"/>
                <w:sz w:val="26"/>
                <w:szCs w:val="26"/>
              </w:rPr>
              <w:t>-</w:t>
            </w:r>
          </w:p>
        </w:tc>
        <w:tc>
          <w:tcPr>
            <w:tcW w:w="2462" w:type="dxa"/>
            <w:tcBorders>
              <w:top w:val="nil"/>
              <w:left w:val="nil"/>
              <w:bottom w:val="nil"/>
              <w:right w:val="nil"/>
            </w:tcBorders>
            <w:shd w:val="clear" w:color="auto" w:fill="auto"/>
            <w:hideMark/>
          </w:tcPr>
          <w:p w:rsidR="00976E9F" w:rsidRPr="00976E9F" w:rsidRDefault="00976E9F" w:rsidP="0098655B">
            <w:pPr>
              <w:spacing w:before="120" w:after="120" w:line="240" w:lineRule="auto"/>
              <w:textAlignment w:val="top"/>
              <w:rPr>
                <w:rFonts w:ascii="Times New Roman" w:eastAsia="Times New Roman" w:hAnsi="Times New Roman" w:cs="Times New Roman"/>
                <w:color w:val="3B3B3B"/>
                <w:sz w:val="26"/>
                <w:szCs w:val="26"/>
              </w:rPr>
            </w:pPr>
            <w:r w:rsidRPr="00976E9F">
              <w:rPr>
                <w:rFonts w:ascii="Times New Roman" w:eastAsia="Times New Roman" w:hAnsi="Times New Roman" w:cs="Times New Roman"/>
                <w:color w:val="3B3B3B"/>
                <w:sz w:val="26"/>
                <w:szCs w:val="26"/>
              </w:rPr>
              <w:t>Số lượng chứng khoán doanh nghiệp đang sở hữu tại thời điểm lập báo cáo tài chính năm</w:t>
            </w:r>
          </w:p>
        </w:tc>
        <w:tc>
          <w:tcPr>
            <w:tcW w:w="307" w:type="dxa"/>
            <w:tcBorders>
              <w:top w:val="nil"/>
              <w:left w:val="nil"/>
              <w:bottom w:val="nil"/>
              <w:right w:val="nil"/>
            </w:tcBorders>
            <w:shd w:val="clear" w:color="auto" w:fill="auto"/>
            <w:hideMark/>
          </w:tcPr>
          <w:p w:rsidR="00976E9F" w:rsidRPr="00976E9F" w:rsidRDefault="00976E9F" w:rsidP="0098655B">
            <w:pPr>
              <w:spacing w:before="120" w:after="120" w:line="240" w:lineRule="auto"/>
              <w:textAlignment w:val="top"/>
              <w:rPr>
                <w:rFonts w:ascii="Times New Roman" w:eastAsia="Times New Roman" w:hAnsi="Times New Roman" w:cs="Times New Roman"/>
                <w:color w:val="3B3B3B"/>
                <w:sz w:val="26"/>
                <w:szCs w:val="26"/>
              </w:rPr>
            </w:pPr>
            <w:r w:rsidRPr="00976E9F">
              <w:rPr>
                <w:rFonts w:ascii="Times New Roman" w:eastAsia="Times New Roman" w:hAnsi="Times New Roman" w:cs="Times New Roman"/>
                <w:color w:val="3B3B3B"/>
                <w:sz w:val="26"/>
                <w:szCs w:val="26"/>
              </w:rPr>
              <w:t>X</w:t>
            </w:r>
          </w:p>
        </w:tc>
        <w:tc>
          <w:tcPr>
            <w:tcW w:w="2492" w:type="dxa"/>
            <w:tcBorders>
              <w:top w:val="nil"/>
              <w:left w:val="nil"/>
              <w:bottom w:val="nil"/>
              <w:right w:val="nil"/>
            </w:tcBorders>
            <w:shd w:val="clear" w:color="auto" w:fill="auto"/>
            <w:hideMark/>
          </w:tcPr>
          <w:p w:rsidR="00976E9F" w:rsidRPr="00976E9F" w:rsidRDefault="00976E9F" w:rsidP="0098655B">
            <w:pPr>
              <w:spacing w:before="120" w:after="120" w:line="240" w:lineRule="auto"/>
              <w:ind w:right="1007"/>
              <w:textAlignment w:val="top"/>
              <w:rPr>
                <w:rFonts w:ascii="Times New Roman" w:eastAsia="Times New Roman" w:hAnsi="Times New Roman" w:cs="Times New Roman"/>
                <w:color w:val="3B3B3B"/>
                <w:sz w:val="26"/>
                <w:szCs w:val="26"/>
              </w:rPr>
            </w:pPr>
            <w:r w:rsidRPr="00976E9F">
              <w:rPr>
                <w:rFonts w:ascii="Times New Roman" w:eastAsia="Times New Roman" w:hAnsi="Times New Roman" w:cs="Times New Roman"/>
                <w:color w:val="3B3B3B"/>
                <w:sz w:val="26"/>
                <w:szCs w:val="26"/>
              </w:rPr>
              <w:t>Giá chứng khoán thực tế trên thị trường</w:t>
            </w:r>
          </w:p>
        </w:tc>
      </w:tr>
    </w:tbl>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i/>
          <w:color w:val="000000"/>
          <w:sz w:val="26"/>
          <w:szCs w:val="26"/>
        </w:rPr>
      </w:pPr>
      <w:r w:rsidRPr="00976E9F">
        <w:rPr>
          <w:rFonts w:ascii="Times New Roman" w:eastAsia="Times New Roman" w:hAnsi="Times New Roman" w:cs="Times New Roman"/>
          <w:i/>
          <w:color w:val="000000"/>
          <w:sz w:val="26"/>
          <w:szCs w:val="26"/>
          <w:lang w:val="vi-VN"/>
        </w:rPr>
        <w:t>Các khoản đầu tư khác:</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a) Đối tượng: là các khoản đầu tư vào tổ chức kinh tế trong nước, không phải các khoản đầu tư chứng khoán theo quy định tại khoản 1 Điều này, doanh nghiệp đang sở hữu tại thời điểm lập báo cáo tài chính năm có cơ sở cho thấy có giá trị suy giảm so với giá trị đầu t</w:t>
      </w:r>
      <w:r w:rsidRPr="00976E9F">
        <w:rPr>
          <w:rFonts w:ascii="Times New Roman" w:eastAsia="Times New Roman" w:hAnsi="Times New Roman" w:cs="Times New Roman"/>
          <w:color w:val="000000"/>
          <w:sz w:val="26"/>
          <w:szCs w:val="26"/>
        </w:rPr>
        <w:t>ư </w:t>
      </w:r>
      <w:r w:rsidRPr="00976E9F">
        <w:rPr>
          <w:rFonts w:ascii="Times New Roman" w:eastAsia="Times New Roman" w:hAnsi="Times New Roman" w:cs="Times New Roman"/>
          <w:color w:val="000000"/>
          <w:sz w:val="26"/>
          <w:szCs w:val="26"/>
          <w:lang w:val="vi-VN"/>
        </w:rPr>
        <w:t>của doanh nghiệp.</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b) Mức trích lập:</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 Căn cứ báo cáo tài chính riêng của tổ chức kinh tế nhận vốn góp lập cùng thời điểm lập báo cáo tài chính năm của doanh nghiệp góp vốn, doanh nghiệp góp vốn xác định mức trích dự phòng cho từng khoản đầu t</w:t>
      </w:r>
      <w:r w:rsidRPr="00976E9F">
        <w:rPr>
          <w:rFonts w:ascii="Times New Roman" w:eastAsia="Times New Roman" w:hAnsi="Times New Roman" w:cs="Times New Roman"/>
          <w:color w:val="000000"/>
          <w:sz w:val="26"/>
          <w:szCs w:val="26"/>
        </w:rPr>
        <w:t>ư</w:t>
      </w:r>
      <w:r w:rsidRPr="00976E9F">
        <w:rPr>
          <w:rFonts w:ascii="Times New Roman" w:eastAsia="Times New Roman" w:hAnsi="Times New Roman" w:cs="Times New Roman"/>
          <w:color w:val="000000"/>
          <w:sz w:val="26"/>
          <w:szCs w:val="26"/>
          <w:lang w:val="vi-VN"/>
        </w:rPr>
        <w:t> nh</w:t>
      </w:r>
      <w:r w:rsidRPr="00976E9F">
        <w:rPr>
          <w:rFonts w:ascii="Times New Roman" w:eastAsia="Times New Roman" w:hAnsi="Times New Roman" w:cs="Times New Roman"/>
          <w:color w:val="000000"/>
          <w:sz w:val="26"/>
          <w:szCs w:val="26"/>
        </w:rPr>
        <w:t>ư</w:t>
      </w:r>
      <w:r w:rsidRPr="00976E9F">
        <w:rPr>
          <w:rFonts w:ascii="Times New Roman" w:eastAsia="Times New Roman" w:hAnsi="Times New Roman" w:cs="Times New Roman"/>
          <w:color w:val="000000"/>
          <w:sz w:val="26"/>
          <w:szCs w:val="26"/>
          <w:lang w:val="vi-VN"/>
        </w:rPr>
        <w:t>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95"/>
        <w:gridCol w:w="395"/>
        <w:gridCol w:w="2295"/>
        <w:gridCol w:w="424"/>
        <w:gridCol w:w="2096"/>
        <w:gridCol w:w="396"/>
        <w:gridCol w:w="1695"/>
      </w:tblGrid>
      <w:tr w:rsidR="00976E9F" w:rsidRPr="00976E9F" w:rsidTr="00976E9F">
        <w:trPr>
          <w:tblCellSpacing w:w="0" w:type="dxa"/>
        </w:trPr>
        <w:tc>
          <w:tcPr>
            <w:tcW w:w="1150" w:type="pct"/>
            <w:shd w:val="clear" w:color="auto" w:fill="FFFFFF"/>
            <w:tcMar>
              <w:top w:w="0" w:type="dxa"/>
              <w:left w:w="108" w:type="dxa"/>
              <w:bottom w:w="0" w:type="dxa"/>
              <w:right w:w="108" w:type="dxa"/>
            </w:tcMar>
            <w:vAlign w:val="center"/>
            <w:hideMark/>
          </w:tcPr>
          <w:p w:rsidR="00976E9F" w:rsidRPr="00976E9F" w:rsidRDefault="00976E9F" w:rsidP="0098655B">
            <w:pPr>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Mức trích dự phòng cho từng khoản đầu</w:t>
            </w:r>
            <w:r w:rsidRPr="00976E9F">
              <w:rPr>
                <w:rFonts w:ascii="Times New Roman" w:eastAsia="Times New Roman" w:hAnsi="Times New Roman" w:cs="Times New Roman"/>
                <w:color w:val="000000"/>
                <w:sz w:val="26"/>
                <w:szCs w:val="26"/>
              </w:rPr>
              <w:t> tư</w:t>
            </w:r>
          </w:p>
        </w:tc>
        <w:tc>
          <w:tcPr>
            <w:tcW w:w="200" w:type="pct"/>
            <w:shd w:val="clear" w:color="auto" w:fill="FFFFFF"/>
            <w:tcMar>
              <w:top w:w="0" w:type="dxa"/>
              <w:left w:w="108" w:type="dxa"/>
              <w:bottom w:w="0" w:type="dxa"/>
              <w:right w:w="108" w:type="dxa"/>
            </w:tcMar>
            <w:vAlign w:val="center"/>
            <w:hideMark/>
          </w:tcPr>
          <w:p w:rsidR="00976E9F" w:rsidRPr="00976E9F" w:rsidRDefault="00976E9F" w:rsidP="0098655B">
            <w:pPr>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rPr>
              <w:t>=</w:t>
            </w:r>
          </w:p>
        </w:tc>
        <w:tc>
          <w:tcPr>
            <w:tcW w:w="1150" w:type="pct"/>
            <w:shd w:val="clear" w:color="auto" w:fill="FFFFFF"/>
            <w:tcMar>
              <w:top w:w="0" w:type="dxa"/>
              <w:left w:w="108" w:type="dxa"/>
              <w:bottom w:w="0" w:type="dxa"/>
              <w:right w:w="108" w:type="dxa"/>
            </w:tcMar>
            <w:vAlign w:val="center"/>
            <w:hideMark/>
          </w:tcPr>
          <w:p w:rsidR="00976E9F" w:rsidRPr="00976E9F" w:rsidRDefault="00976E9F" w:rsidP="0098655B">
            <w:pPr>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Tỷ lệ sở hữu vốn điều lệ thực góp (%) của doanh nghiệp tại t</w:t>
            </w:r>
            <w:r w:rsidRPr="00976E9F">
              <w:rPr>
                <w:rFonts w:ascii="Times New Roman" w:eastAsia="Times New Roman" w:hAnsi="Times New Roman" w:cs="Times New Roman"/>
                <w:color w:val="000000"/>
                <w:sz w:val="26"/>
                <w:szCs w:val="26"/>
              </w:rPr>
              <w:t>ổ </w:t>
            </w:r>
            <w:r w:rsidRPr="00976E9F">
              <w:rPr>
                <w:rFonts w:ascii="Times New Roman" w:eastAsia="Times New Roman" w:hAnsi="Times New Roman" w:cs="Times New Roman"/>
                <w:color w:val="000000"/>
                <w:sz w:val="26"/>
                <w:szCs w:val="26"/>
                <w:lang w:val="vi-VN"/>
              </w:rPr>
              <w:t>chức kinh tế nhận vốn góp tại thời điểm trích lập dự phòng</w:t>
            </w:r>
          </w:p>
        </w:tc>
        <w:tc>
          <w:tcPr>
            <w:tcW w:w="200" w:type="pc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976E9F" w:rsidRPr="00976E9F" w:rsidRDefault="00976E9F" w:rsidP="0098655B">
            <w:pPr>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rPr>
              <w:t>X</w:t>
            </w:r>
          </w:p>
        </w:tc>
        <w:tc>
          <w:tcPr>
            <w:tcW w:w="1050" w:type="pct"/>
            <w:shd w:val="clear" w:color="auto" w:fill="FFFFFF"/>
            <w:tcMar>
              <w:top w:w="0" w:type="dxa"/>
              <w:left w:w="108" w:type="dxa"/>
              <w:bottom w:w="0" w:type="dxa"/>
              <w:right w:w="108" w:type="dxa"/>
            </w:tcMar>
            <w:vAlign w:val="center"/>
            <w:hideMark/>
          </w:tcPr>
          <w:p w:rsidR="00976E9F" w:rsidRPr="00976E9F" w:rsidRDefault="00976E9F" w:rsidP="0098655B">
            <w:pPr>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Vốn đầu t</w:t>
            </w:r>
            <w:r w:rsidRPr="00976E9F">
              <w:rPr>
                <w:rFonts w:ascii="Times New Roman" w:eastAsia="Times New Roman" w:hAnsi="Times New Roman" w:cs="Times New Roman"/>
                <w:color w:val="000000"/>
                <w:sz w:val="26"/>
                <w:szCs w:val="26"/>
              </w:rPr>
              <w:t>ư </w:t>
            </w:r>
            <w:r w:rsidRPr="00976E9F">
              <w:rPr>
                <w:rFonts w:ascii="Times New Roman" w:eastAsia="Times New Roman" w:hAnsi="Times New Roman" w:cs="Times New Roman"/>
                <w:color w:val="000000"/>
                <w:sz w:val="26"/>
                <w:szCs w:val="26"/>
                <w:lang w:val="vi-VN"/>
              </w:rPr>
              <w:t>thực tế của các chủ sở hữu ở tổ chức kinh tế nhận vốn góp tại thời điểm trích lập d</w:t>
            </w:r>
            <w:r w:rsidRPr="00976E9F">
              <w:rPr>
                <w:rFonts w:ascii="Times New Roman" w:eastAsia="Times New Roman" w:hAnsi="Times New Roman" w:cs="Times New Roman"/>
                <w:color w:val="000000"/>
                <w:sz w:val="26"/>
                <w:szCs w:val="26"/>
              </w:rPr>
              <w:t>ự</w:t>
            </w:r>
            <w:r w:rsidRPr="00976E9F">
              <w:rPr>
                <w:rFonts w:ascii="Times New Roman" w:eastAsia="Times New Roman" w:hAnsi="Times New Roman" w:cs="Times New Roman"/>
                <w:color w:val="000000"/>
                <w:sz w:val="26"/>
                <w:szCs w:val="26"/>
                <w:lang w:val="vi-VN"/>
              </w:rPr>
              <w:t> phòng</w:t>
            </w:r>
          </w:p>
        </w:tc>
        <w:tc>
          <w:tcPr>
            <w:tcW w:w="200" w:type="pct"/>
            <w:shd w:val="clear" w:color="auto" w:fill="FFFFFF"/>
            <w:tcMar>
              <w:top w:w="0" w:type="dxa"/>
              <w:left w:w="108" w:type="dxa"/>
              <w:bottom w:w="0" w:type="dxa"/>
              <w:right w:w="108" w:type="dxa"/>
            </w:tcMar>
            <w:vAlign w:val="center"/>
            <w:hideMark/>
          </w:tcPr>
          <w:p w:rsidR="00976E9F" w:rsidRPr="00976E9F" w:rsidRDefault="00976E9F" w:rsidP="0098655B">
            <w:pPr>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rPr>
              <w:t>-</w:t>
            </w:r>
          </w:p>
        </w:tc>
        <w:tc>
          <w:tcPr>
            <w:tcW w:w="850" w:type="pc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976E9F" w:rsidRPr="00976E9F" w:rsidRDefault="00976E9F" w:rsidP="0098655B">
            <w:pPr>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Vốn chủ sở hữu của tổ chức kinh tế - nhận vốn góp tại thời điểm trích lập dự phòng</w:t>
            </w:r>
          </w:p>
        </w:tc>
      </w:tr>
    </w:tbl>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bookmarkStart w:id="4" w:name="dieu_6"/>
      <w:r w:rsidRPr="00976E9F">
        <w:rPr>
          <w:rFonts w:ascii="Times New Roman" w:eastAsia="Times New Roman" w:hAnsi="Times New Roman" w:cs="Times New Roman"/>
          <w:b/>
          <w:bCs/>
          <w:color w:val="000000"/>
          <w:sz w:val="26"/>
          <w:szCs w:val="26"/>
          <w:lang w:val="vi-VN"/>
        </w:rPr>
        <w:t>Dự phòng nợ phải thu khó đòi</w:t>
      </w:r>
      <w:bookmarkEnd w:id="4"/>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1. Đối tượng lập dự phòng là các khoản nợ phải thu (bao gồm cả các khoản doanh nghiệp đang cho vay và khoản trái phiếu chưa đăng ký giao dịch trên thị trường chứng khoán mà doanh nghiệp đang sở hữu) đã quá hạn thanh toán và các khoản nợ phải thu chưa đến hạn thanh toán nhưng có khả năng doanh nghiệp không thu hồi được đúng hạn, đồng thời đảm bảo điều kiện sau:</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a) Phải có chứng từ gốc chứng minh số tiền đối tượng nợ chưa trả, bao gồm:</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 Một trong số các chứng từ gốc sau: Hợp đồng kinh tế, khế ước vay nợ, cam kết nợ;</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 Bản thanh lý hợp đồng (nếu có);</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 Đối chiếu công nợ; trường hợp không có đối chiếu công nợ thì phải có văn bản đề nghị đối chiếu xác nhận công nợ hoặc văn bản đòi nợ do doanh nghiệp đã gửi (có dấu bưu điện hoặc xác nhận của đơn vị chuy</w:t>
      </w:r>
      <w:r w:rsidRPr="00976E9F">
        <w:rPr>
          <w:rFonts w:ascii="Times New Roman" w:eastAsia="Times New Roman" w:hAnsi="Times New Roman" w:cs="Times New Roman"/>
          <w:color w:val="000000"/>
          <w:sz w:val="26"/>
          <w:szCs w:val="26"/>
        </w:rPr>
        <w:t>ể</w:t>
      </w:r>
      <w:r w:rsidRPr="00976E9F">
        <w:rPr>
          <w:rFonts w:ascii="Times New Roman" w:eastAsia="Times New Roman" w:hAnsi="Times New Roman" w:cs="Times New Roman"/>
          <w:color w:val="000000"/>
          <w:sz w:val="26"/>
          <w:szCs w:val="26"/>
          <w:lang w:val="vi-VN"/>
        </w:rPr>
        <w:t>n phát);</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 Bảng kê công nợ;</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lastRenderedPageBreak/>
        <w:t>- Các chứng từ khác có liên quan (nếu có).</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b) Có đủ căn cứ xác định là khoản nợ phải thu khó đòi:</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 Nợ phải thu đã quá thời hạn thanh toán từ 06 tháng trở lên (tính theo thời hạn trả nợ gốc ban đầu theo h</w:t>
      </w:r>
      <w:r w:rsidRPr="00976E9F">
        <w:rPr>
          <w:rFonts w:ascii="Times New Roman" w:eastAsia="Times New Roman" w:hAnsi="Times New Roman" w:cs="Times New Roman"/>
          <w:color w:val="000000"/>
          <w:sz w:val="26"/>
          <w:szCs w:val="26"/>
        </w:rPr>
        <w:t>ợ</w:t>
      </w:r>
      <w:r w:rsidRPr="00976E9F">
        <w:rPr>
          <w:rFonts w:ascii="Times New Roman" w:eastAsia="Times New Roman" w:hAnsi="Times New Roman" w:cs="Times New Roman"/>
          <w:color w:val="000000"/>
          <w:sz w:val="26"/>
          <w:szCs w:val="26"/>
          <w:lang w:val="vi-VN"/>
        </w:rPr>
        <w:t>p đồng kinh tế, khế ước vay nợ hoặc các cam kết nợ khác, không tính đến thời gian gia hạn trả nợ giữa các bên), doanh nghiệp đã gửi đối chiếu xác nhận nợ hoặc đôn đốc thanh toán nhưng vẫn chưa thu hồi được nợ.</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 Nợ phải thu chưa đến hạn thanh toán nhưng doanh nghiệp thu thập được các bằng chứng xác định đối tượng nợ có khả năng không trả được nợ đúng hạn theo quy định tại điểm c khoản 2 Điều này.</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 Riêng đối với các khoản nợ mua của doanh nghiệp mua bán nợ (có đăng ký ngành nghề và hoạt động mua bán nợ theo đúng quy định của pháp luật), thời gian quá hạn được tính k</w:t>
      </w:r>
      <w:r w:rsidRPr="00976E9F">
        <w:rPr>
          <w:rFonts w:ascii="Times New Roman" w:eastAsia="Times New Roman" w:hAnsi="Times New Roman" w:cs="Times New Roman"/>
          <w:color w:val="000000"/>
          <w:sz w:val="26"/>
          <w:szCs w:val="26"/>
        </w:rPr>
        <w:t>ể </w:t>
      </w:r>
      <w:r w:rsidRPr="00976E9F">
        <w:rPr>
          <w:rFonts w:ascii="Times New Roman" w:eastAsia="Times New Roman" w:hAnsi="Times New Roman" w:cs="Times New Roman"/>
          <w:color w:val="000000"/>
          <w:sz w:val="26"/>
          <w:szCs w:val="26"/>
          <w:lang w:val="vi-VN"/>
        </w:rPr>
        <w:t>từ ngày chuyển giao quyền chủ nợ giữa các bên (trên cơ sở biên bản hoặc thông báo bàn giao quyền chủ nợ) hoặc theo cam kết gần nhất (nếu có) giữa doanh nghiệp đối tượng nợ và doanh nghiệp mua bán nợ.</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2. Mức trích lập:</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a) Đối với nợ phải thu quá hạn thanh toán, mức trích lập dự phòng như sau:</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- 30% giá trị đối với khoản nợ phải thu quá hạn từ 6 tháng đến dưới 1 năm.</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- 50% giá trị đối với khoản nợ phải thu quá hạn từ 1 năm đến dưới 2 năm.</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- 70% giá trị đối với khoản nợ phải thu quá hạn từ 2 năm đến dưới 3 năm.</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- 100% giá trị đối với khoản nợ phải thu từ 3 năm trở lên.</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b) Đối với doanh nghiệp kinh doanh dịch vụ viễn thông và doanh nghiệp kinh doanh bán lẻ hàng hóa, khoản nợ phải thu cước dịch vụ viễn thông, công nghệ thông tin, truyền hình trả sau và khoản nợ phải thu do bán lẻ hàng hóa theo hình thức trả chậm/trả góp của các đối tượng nợ là cá nhân đã quá hạn thanh toán mức trích lập dự phòng như sau:</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- 30% giá trị đối với khoản nợ phải thu quá hạn từ 3 tháng đến dưới 6 tháng.</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- 50% giá trị đối với khoản nợ phải thu quá hạn từ 6 tháng đến dưới 9 tháng.</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- 70% giá trị đối với khoản nợ phải thu quá hạn từ 9 tháng đến dưới 12 tháng.</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- 100% giá trị đối với khoản nợ phải thu từ 12 tháng trở lên.</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c) Đối với các khoản nợ phải thu chưa đến hạn thanh toán nhưng doanh nghiệp thu thập được các bằng chứng xác định tổ chức kinh tế đã phá sản, đã mở thủ tục phá sản, đã bỏ trốn khỏi địa điểm kinh doanh; đối tượng nợ đang bị các cơ quan pháp luật truy tố, giam giữ, xét xử hoặc đang thi hành án hoặc đang mắc bệnh hi</w:t>
      </w:r>
      <w:r w:rsidRPr="00976E9F">
        <w:rPr>
          <w:rFonts w:ascii="Times New Roman" w:eastAsia="Times New Roman" w:hAnsi="Times New Roman" w:cs="Times New Roman"/>
          <w:color w:val="000000"/>
          <w:sz w:val="26"/>
          <w:szCs w:val="26"/>
        </w:rPr>
        <w:t>ể</w:t>
      </w:r>
      <w:r w:rsidRPr="00976E9F">
        <w:rPr>
          <w:rFonts w:ascii="Times New Roman" w:eastAsia="Times New Roman" w:hAnsi="Times New Roman" w:cs="Times New Roman"/>
          <w:color w:val="000000"/>
          <w:sz w:val="26"/>
          <w:szCs w:val="26"/>
          <w:lang w:val="vi-VN"/>
        </w:rPr>
        <w:t xml:space="preserve">m nghèo (có xác nhận của bệnh viện) hoặc đã chết hoặc khoản nợ đã được doanh nghiệp yêu cầu thi hành án nhưng không thể thực hiện được do đối tượng nợ bỏ trốn khỏi nơi cư trú; khoản nợ đã được doanh nghiệp khởi kiện đòi nợ nhưng bị đình chỉ giải quyết vụ án thì doanh nghiệp tự dự </w:t>
      </w:r>
      <w:r w:rsidRPr="00976E9F">
        <w:rPr>
          <w:rFonts w:ascii="Times New Roman" w:eastAsia="Times New Roman" w:hAnsi="Times New Roman" w:cs="Times New Roman"/>
          <w:color w:val="000000"/>
          <w:sz w:val="26"/>
          <w:szCs w:val="26"/>
          <w:lang w:val="vi-VN"/>
        </w:rPr>
        <w:lastRenderedPageBreak/>
        <w:t>kiến mức tổn thất không thu hồi được (tối đa bằng giá </w:t>
      </w:r>
      <w:r w:rsidRPr="00976E9F">
        <w:rPr>
          <w:rFonts w:ascii="Times New Roman" w:eastAsia="Times New Roman" w:hAnsi="Times New Roman" w:cs="Times New Roman"/>
          <w:color w:val="000000"/>
          <w:sz w:val="26"/>
          <w:szCs w:val="26"/>
        </w:rPr>
        <w:t>tr</w:t>
      </w:r>
      <w:r w:rsidRPr="00976E9F">
        <w:rPr>
          <w:rFonts w:ascii="Times New Roman" w:eastAsia="Times New Roman" w:hAnsi="Times New Roman" w:cs="Times New Roman"/>
          <w:color w:val="000000"/>
          <w:sz w:val="26"/>
          <w:szCs w:val="26"/>
          <w:lang w:val="vi-VN"/>
        </w:rPr>
        <w:t>ị khoản nợ đang theo dõi trên sổ kế toán) để trích lập dự phòng.</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bookmarkStart w:id="5" w:name="dieu_7"/>
      <w:r w:rsidRPr="00976E9F">
        <w:rPr>
          <w:rFonts w:ascii="Times New Roman" w:eastAsia="Times New Roman" w:hAnsi="Times New Roman" w:cs="Times New Roman"/>
          <w:b/>
          <w:bCs/>
          <w:color w:val="000000"/>
          <w:sz w:val="26"/>
          <w:szCs w:val="26"/>
          <w:lang w:val="vi-VN"/>
        </w:rPr>
        <w:t>Dự phòng bảo hành sản phẩm, hàng hóa, dịch vụ, công trình xây dựng</w:t>
      </w:r>
      <w:bookmarkEnd w:id="5"/>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1. Đối tượng và điều kiện lập dự phòng: là những sản phẩm, hàng hóa, dịch vụ, công trình xây dựng do doanh nghiệp thực hiện đã bán, đã cung c</w:t>
      </w:r>
      <w:r w:rsidRPr="00976E9F">
        <w:rPr>
          <w:rFonts w:ascii="Times New Roman" w:eastAsia="Times New Roman" w:hAnsi="Times New Roman" w:cs="Times New Roman"/>
          <w:color w:val="000000"/>
          <w:sz w:val="26"/>
          <w:szCs w:val="26"/>
        </w:rPr>
        <w:t>ấ</w:t>
      </w:r>
      <w:r w:rsidRPr="00976E9F">
        <w:rPr>
          <w:rFonts w:ascii="Times New Roman" w:eastAsia="Times New Roman" w:hAnsi="Times New Roman" w:cs="Times New Roman"/>
          <w:color w:val="000000"/>
          <w:sz w:val="26"/>
          <w:szCs w:val="26"/>
          <w:lang w:val="vi-VN"/>
        </w:rPr>
        <w:t>p hoặc đã bàn giao cho người mua còn trong thời hạn bảo hành và doanh nghiệp vẫn có nghĩa vụ phải tiếp tục sửa chữa, hoàn thiện, bảo hành theo hợp đồng hoặc cam kết với khách hàng.</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2. Mức trích lập:</w:t>
      </w:r>
    </w:p>
    <w:p w:rsidR="00976E9F" w:rsidRP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76E9F">
        <w:rPr>
          <w:rFonts w:ascii="Times New Roman" w:eastAsia="Times New Roman" w:hAnsi="Times New Roman" w:cs="Times New Roman"/>
          <w:color w:val="000000"/>
          <w:sz w:val="26"/>
          <w:szCs w:val="26"/>
          <w:lang w:val="vi-VN"/>
        </w:rPr>
        <w:t>Doanh nghiệp dự kiến mức t</w:t>
      </w:r>
      <w:r w:rsidRPr="00976E9F">
        <w:rPr>
          <w:rFonts w:ascii="Times New Roman" w:eastAsia="Times New Roman" w:hAnsi="Times New Roman" w:cs="Times New Roman"/>
          <w:color w:val="000000"/>
          <w:sz w:val="26"/>
          <w:szCs w:val="26"/>
        </w:rPr>
        <w:t>ổ</w:t>
      </w:r>
      <w:r w:rsidRPr="00976E9F">
        <w:rPr>
          <w:rFonts w:ascii="Times New Roman" w:eastAsia="Times New Roman" w:hAnsi="Times New Roman" w:cs="Times New Roman"/>
          <w:color w:val="000000"/>
          <w:sz w:val="26"/>
          <w:szCs w:val="26"/>
          <w:lang w:val="vi-VN"/>
        </w:rPr>
        <w:t>n thất đ</w:t>
      </w:r>
      <w:r w:rsidRPr="00976E9F">
        <w:rPr>
          <w:rFonts w:ascii="Times New Roman" w:eastAsia="Times New Roman" w:hAnsi="Times New Roman" w:cs="Times New Roman"/>
          <w:color w:val="000000"/>
          <w:sz w:val="26"/>
          <w:szCs w:val="26"/>
        </w:rPr>
        <w:t>ể </w:t>
      </w:r>
      <w:r w:rsidRPr="00976E9F">
        <w:rPr>
          <w:rFonts w:ascii="Times New Roman" w:eastAsia="Times New Roman" w:hAnsi="Times New Roman" w:cs="Times New Roman"/>
          <w:color w:val="000000"/>
          <w:sz w:val="26"/>
          <w:szCs w:val="26"/>
          <w:lang w:val="vi-VN"/>
        </w:rPr>
        <w:t>trích lập dự phòng bảo hành sản phẩm, hàng h</w:t>
      </w:r>
      <w:r w:rsidRPr="00976E9F">
        <w:rPr>
          <w:rFonts w:ascii="Times New Roman" w:eastAsia="Times New Roman" w:hAnsi="Times New Roman" w:cs="Times New Roman"/>
          <w:color w:val="000000"/>
          <w:sz w:val="26"/>
          <w:szCs w:val="26"/>
        </w:rPr>
        <w:t>óa</w:t>
      </w:r>
      <w:r w:rsidRPr="00976E9F">
        <w:rPr>
          <w:rFonts w:ascii="Times New Roman" w:eastAsia="Times New Roman" w:hAnsi="Times New Roman" w:cs="Times New Roman"/>
          <w:color w:val="000000"/>
          <w:sz w:val="26"/>
          <w:szCs w:val="26"/>
          <w:lang w:val="vi-VN"/>
        </w:rPr>
        <w:t>, dịch vụ, công trình xây dựng đã tiêu thụ và dịch vụ đã cung cấp trong năm và tiến hành lập dự phòng cho từng loại sản ph</w:t>
      </w:r>
      <w:r w:rsidRPr="00976E9F">
        <w:rPr>
          <w:rFonts w:ascii="Times New Roman" w:eastAsia="Times New Roman" w:hAnsi="Times New Roman" w:cs="Times New Roman"/>
          <w:color w:val="000000"/>
          <w:sz w:val="26"/>
          <w:szCs w:val="26"/>
        </w:rPr>
        <w:t>ẩ</w:t>
      </w:r>
      <w:r w:rsidRPr="00976E9F">
        <w:rPr>
          <w:rFonts w:ascii="Times New Roman" w:eastAsia="Times New Roman" w:hAnsi="Times New Roman" w:cs="Times New Roman"/>
          <w:color w:val="000000"/>
          <w:sz w:val="26"/>
          <w:szCs w:val="26"/>
          <w:lang w:val="vi-VN"/>
        </w:rPr>
        <w:t>m, hàng h</w:t>
      </w:r>
      <w:r w:rsidRPr="00976E9F">
        <w:rPr>
          <w:rFonts w:ascii="Times New Roman" w:eastAsia="Times New Roman" w:hAnsi="Times New Roman" w:cs="Times New Roman"/>
          <w:color w:val="000000"/>
          <w:sz w:val="26"/>
          <w:szCs w:val="26"/>
        </w:rPr>
        <w:t>óa</w:t>
      </w:r>
      <w:r w:rsidRPr="00976E9F">
        <w:rPr>
          <w:rFonts w:ascii="Times New Roman" w:eastAsia="Times New Roman" w:hAnsi="Times New Roman" w:cs="Times New Roman"/>
          <w:color w:val="000000"/>
          <w:sz w:val="26"/>
          <w:szCs w:val="26"/>
          <w:lang w:val="vi-VN"/>
        </w:rPr>
        <w:t>, dịch vụ, công tr</w:t>
      </w:r>
      <w:r w:rsidRPr="00976E9F">
        <w:rPr>
          <w:rFonts w:ascii="Times New Roman" w:eastAsia="Times New Roman" w:hAnsi="Times New Roman" w:cs="Times New Roman"/>
          <w:color w:val="000000"/>
          <w:sz w:val="26"/>
          <w:szCs w:val="26"/>
        </w:rPr>
        <w:t>ì</w:t>
      </w:r>
      <w:r w:rsidRPr="00976E9F">
        <w:rPr>
          <w:rFonts w:ascii="Times New Roman" w:eastAsia="Times New Roman" w:hAnsi="Times New Roman" w:cs="Times New Roman"/>
          <w:color w:val="000000"/>
          <w:sz w:val="26"/>
          <w:szCs w:val="26"/>
          <w:lang w:val="vi-VN"/>
        </w:rPr>
        <w:t>nh xây dựng có cam kết bảo hành.</w:t>
      </w:r>
    </w:p>
    <w:p w:rsidR="00976E9F" w:rsidRDefault="00976E9F" w:rsidP="0098655B">
      <w:pPr>
        <w:shd w:val="clear" w:color="auto" w:fill="FFFFFF"/>
        <w:spacing w:before="120" w:after="120" w:line="240" w:lineRule="auto"/>
        <w:jc w:val="both"/>
        <w:rPr>
          <w:rFonts w:ascii="Times New Roman" w:eastAsia="Times New Roman" w:hAnsi="Times New Roman" w:cs="Times New Roman"/>
          <w:color w:val="000000"/>
          <w:sz w:val="26"/>
          <w:szCs w:val="26"/>
          <w:lang w:val="vi-VN"/>
        </w:rPr>
      </w:pPr>
      <w:r w:rsidRPr="00976E9F">
        <w:rPr>
          <w:rFonts w:ascii="Times New Roman" w:eastAsia="Times New Roman" w:hAnsi="Times New Roman" w:cs="Times New Roman"/>
          <w:color w:val="000000"/>
          <w:sz w:val="26"/>
          <w:szCs w:val="26"/>
          <w:lang w:val="vi-VN"/>
        </w:rPr>
        <w:t>T</w:t>
      </w:r>
      <w:r w:rsidRPr="00976E9F">
        <w:rPr>
          <w:rFonts w:ascii="Times New Roman" w:eastAsia="Times New Roman" w:hAnsi="Times New Roman" w:cs="Times New Roman"/>
          <w:color w:val="000000"/>
          <w:sz w:val="26"/>
          <w:szCs w:val="26"/>
        </w:rPr>
        <w:t>ổ</w:t>
      </w:r>
      <w:r w:rsidRPr="00976E9F">
        <w:rPr>
          <w:rFonts w:ascii="Times New Roman" w:eastAsia="Times New Roman" w:hAnsi="Times New Roman" w:cs="Times New Roman"/>
          <w:color w:val="000000"/>
          <w:sz w:val="26"/>
          <w:szCs w:val="26"/>
          <w:lang w:val="vi-VN"/>
        </w:rPr>
        <w:t>ng mức trích lập dự phòng bảo hành của các sản ph</w:t>
      </w:r>
      <w:r w:rsidRPr="00976E9F">
        <w:rPr>
          <w:rFonts w:ascii="Times New Roman" w:eastAsia="Times New Roman" w:hAnsi="Times New Roman" w:cs="Times New Roman"/>
          <w:color w:val="000000"/>
          <w:sz w:val="26"/>
          <w:szCs w:val="26"/>
        </w:rPr>
        <w:t>ẩ</w:t>
      </w:r>
      <w:r w:rsidRPr="00976E9F">
        <w:rPr>
          <w:rFonts w:ascii="Times New Roman" w:eastAsia="Times New Roman" w:hAnsi="Times New Roman" w:cs="Times New Roman"/>
          <w:color w:val="000000"/>
          <w:sz w:val="26"/>
          <w:szCs w:val="26"/>
          <w:lang w:val="vi-VN"/>
        </w:rPr>
        <w:t>m, hàng h</w:t>
      </w:r>
      <w:r w:rsidRPr="00976E9F">
        <w:rPr>
          <w:rFonts w:ascii="Times New Roman" w:eastAsia="Times New Roman" w:hAnsi="Times New Roman" w:cs="Times New Roman"/>
          <w:color w:val="000000"/>
          <w:sz w:val="26"/>
          <w:szCs w:val="26"/>
        </w:rPr>
        <w:t>óa</w:t>
      </w:r>
      <w:r w:rsidRPr="00976E9F">
        <w:rPr>
          <w:rFonts w:ascii="Times New Roman" w:eastAsia="Times New Roman" w:hAnsi="Times New Roman" w:cs="Times New Roman"/>
          <w:color w:val="000000"/>
          <w:sz w:val="26"/>
          <w:szCs w:val="26"/>
          <w:lang w:val="vi-VN"/>
        </w:rPr>
        <w:t>, dịch vụ, công trình xây dựng theo cam kết với khách hàng nhưng tối đa không quá 05% tổng doanh thu tiêu thụ trong năm đối với các sản phẩm, hàng h</w:t>
      </w:r>
      <w:r w:rsidRPr="00976E9F">
        <w:rPr>
          <w:rFonts w:ascii="Times New Roman" w:eastAsia="Times New Roman" w:hAnsi="Times New Roman" w:cs="Times New Roman"/>
          <w:color w:val="000000"/>
          <w:sz w:val="26"/>
          <w:szCs w:val="26"/>
        </w:rPr>
        <w:t>óa</w:t>
      </w:r>
      <w:r w:rsidRPr="00976E9F">
        <w:rPr>
          <w:rFonts w:ascii="Times New Roman" w:eastAsia="Times New Roman" w:hAnsi="Times New Roman" w:cs="Times New Roman"/>
          <w:color w:val="000000"/>
          <w:sz w:val="26"/>
          <w:szCs w:val="26"/>
          <w:lang w:val="vi-VN"/>
        </w:rPr>
        <w:t>, dịch vụ và không quá 05% trên giá trị hợp đồng đối với các công trình xây dựng.</w:t>
      </w:r>
    </w:p>
    <w:p w:rsidR="0098655B" w:rsidRPr="0098655B" w:rsidRDefault="0098655B" w:rsidP="0098655B">
      <w:pPr>
        <w:shd w:val="clear" w:color="auto" w:fill="FFFFFF"/>
        <w:spacing w:before="120" w:after="120" w:line="240" w:lineRule="auto"/>
        <w:jc w:val="both"/>
        <w:rPr>
          <w:rFonts w:ascii="Times New Roman" w:eastAsia="Times New Roman" w:hAnsi="Times New Roman" w:cs="Times New Roman"/>
          <w:b/>
          <w:color w:val="000000"/>
          <w:sz w:val="26"/>
          <w:szCs w:val="26"/>
        </w:rPr>
      </w:pPr>
      <w:r w:rsidRPr="0098655B">
        <w:rPr>
          <w:rFonts w:ascii="Times New Roman" w:eastAsia="Times New Roman" w:hAnsi="Times New Roman" w:cs="Times New Roman"/>
          <w:b/>
          <w:color w:val="000000"/>
          <w:sz w:val="26"/>
          <w:szCs w:val="26"/>
        </w:rPr>
        <w:t>TÀI LIỆU THAM KHẢO</w:t>
      </w:r>
    </w:p>
    <w:p w:rsidR="0098655B" w:rsidRPr="0098655B" w:rsidRDefault="0098655B"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8655B">
        <w:rPr>
          <w:rFonts w:ascii="Times New Roman" w:eastAsia="Times New Roman" w:hAnsi="Times New Roman" w:cs="Times New Roman"/>
          <w:color w:val="000000"/>
          <w:sz w:val="26"/>
          <w:szCs w:val="26"/>
        </w:rPr>
        <w:t>Thông tư 48/2019/TT-BTC ngày 08/08/2019</w:t>
      </w:r>
    </w:p>
    <w:p w:rsidR="0098655B" w:rsidRPr="00976E9F" w:rsidRDefault="0098655B" w:rsidP="0098655B">
      <w:pPr>
        <w:shd w:val="clear" w:color="auto" w:fill="FFFFFF"/>
        <w:spacing w:before="120" w:after="120" w:line="240" w:lineRule="auto"/>
        <w:jc w:val="both"/>
        <w:rPr>
          <w:rFonts w:ascii="Times New Roman" w:eastAsia="Times New Roman" w:hAnsi="Times New Roman" w:cs="Times New Roman"/>
          <w:color w:val="000000"/>
          <w:sz w:val="26"/>
          <w:szCs w:val="26"/>
        </w:rPr>
      </w:pPr>
      <w:r w:rsidRPr="0098655B">
        <w:rPr>
          <w:rFonts w:ascii="Times New Roman" w:hAnsi="Times New Roman" w:cs="Times New Roman"/>
          <w:color w:val="3B3B3B"/>
          <w:sz w:val="26"/>
          <w:szCs w:val="26"/>
          <w:shd w:val="clear" w:color="auto" w:fill="FFFFFF"/>
        </w:rPr>
        <w:t xml:space="preserve">Thông tư 24/2022/TT-BTC </w:t>
      </w:r>
      <w:r w:rsidRPr="0098655B">
        <w:rPr>
          <w:rFonts w:ascii="Times New Roman" w:hAnsi="Times New Roman" w:cs="Times New Roman"/>
          <w:color w:val="232323"/>
          <w:sz w:val="26"/>
          <w:szCs w:val="26"/>
          <w:bdr w:val="none" w:sz="0" w:space="0" w:color="auto" w:frame="1"/>
          <w:shd w:val="clear" w:color="auto" w:fill="FFFFFF"/>
        </w:rPr>
        <w:t>sửa đổi bổ sung một số điều của thông tư 48/2019/TT-BTC</w:t>
      </w:r>
    </w:p>
    <w:sectPr w:rsidR="0098655B" w:rsidRPr="00976E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858" w:rsidRDefault="00BD5858" w:rsidP="00976E9F">
      <w:pPr>
        <w:spacing w:after="0" w:line="240" w:lineRule="auto"/>
      </w:pPr>
      <w:r>
        <w:separator/>
      </w:r>
    </w:p>
  </w:endnote>
  <w:endnote w:type="continuationSeparator" w:id="0">
    <w:p w:rsidR="00BD5858" w:rsidRDefault="00BD5858" w:rsidP="0097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858" w:rsidRDefault="00BD5858" w:rsidP="00976E9F">
      <w:pPr>
        <w:spacing w:after="0" w:line="240" w:lineRule="auto"/>
      </w:pPr>
      <w:r>
        <w:separator/>
      </w:r>
    </w:p>
  </w:footnote>
  <w:footnote w:type="continuationSeparator" w:id="0">
    <w:p w:rsidR="00BD5858" w:rsidRDefault="00BD5858" w:rsidP="00976E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E9F"/>
    <w:rsid w:val="002E30A4"/>
    <w:rsid w:val="0077529C"/>
    <w:rsid w:val="007901CA"/>
    <w:rsid w:val="00944F8B"/>
    <w:rsid w:val="00976E9F"/>
    <w:rsid w:val="0098655B"/>
    <w:rsid w:val="00BD5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6E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76E9F"/>
    <w:rPr>
      <w:color w:val="0000FF"/>
      <w:u w:val="single"/>
    </w:rPr>
  </w:style>
  <w:style w:type="paragraph" w:styleId="Header">
    <w:name w:val="header"/>
    <w:basedOn w:val="Normal"/>
    <w:link w:val="HeaderChar"/>
    <w:uiPriority w:val="99"/>
    <w:unhideWhenUsed/>
    <w:rsid w:val="00976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E9F"/>
  </w:style>
  <w:style w:type="paragraph" w:styleId="Footer">
    <w:name w:val="footer"/>
    <w:basedOn w:val="Normal"/>
    <w:link w:val="FooterChar"/>
    <w:uiPriority w:val="99"/>
    <w:unhideWhenUsed/>
    <w:rsid w:val="00976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E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6E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76E9F"/>
    <w:rPr>
      <w:color w:val="0000FF"/>
      <w:u w:val="single"/>
    </w:rPr>
  </w:style>
  <w:style w:type="paragraph" w:styleId="Header">
    <w:name w:val="header"/>
    <w:basedOn w:val="Normal"/>
    <w:link w:val="HeaderChar"/>
    <w:uiPriority w:val="99"/>
    <w:unhideWhenUsed/>
    <w:rsid w:val="00976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E9F"/>
  </w:style>
  <w:style w:type="paragraph" w:styleId="Footer">
    <w:name w:val="footer"/>
    <w:basedOn w:val="Normal"/>
    <w:link w:val="FooterChar"/>
    <w:uiPriority w:val="99"/>
    <w:unhideWhenUsed/>
    <w:rsid w:val="00976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18660">
      <w:bodyDiv w:val="1"/>
      <w:marLeft w:val="0"/>
      <w:marRight w:val="0"/>
      <w:marTop w:val="0"/>
      <w:marBottom w:val="0"/>
      <w:divBdr>
        <w:top w:val="none" w:sz="0" w:space="0" w:color="auto"/>
        <w:left w:val="none" w:sz="0" w:space="0" w:color="auto"/>
        <w:bottom w:val="none" w:sz="0" w:space="0" w:color="auto"/>
        <w:right w:val="none" w:sz="0" w:space="0" w:color="auto"/>
      </w:divBdr>
    </w:div>
    <w:div w:id="1055008387">
      <w:bodyDiv w:val="1"/>
      <w:marLeft w:val="0"/>
      <w:marRight w:val="0"/>
      <w:marTop w:val="0"/>
      <w:marBottom w:val="0"/>
      <w:divBdr>
        <w:top w:val="none" w:sz="0" w:space="0" w:color="auto"/>
        <w:left w:val="none" w:sz="0" w:space="0" w:color="auto"/>
        <w:bottom w:val="none" w:sz="0" w:space="0" w:color="auto"/>
        <w:right w:val="none" w:sz="0" w:space="0" w:color="auto"/>
      </w:divBdr>
    </w:div>
    <w:div w:id="130064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2</cp:revision>
  <dcterms:created xsi:type="dcterms:W3CDTF">2022-05-16T09:58:00Z</dcterms:created>
  <dcterms:modified xsi:type="dcterms:W3CDTF">2022-05-16T09:58:00Z</dcterms:modified>
</cp:coreProperties>
</file>