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71F" w:rsidRPr="008F571F" w:rsidRDefault="00A55A50" w:rsidP="0033511E">
      <w:pPr>
        <w:shd w:val="clear" w:color="auto" w:fill="FFFFFF"/>
        <w:spacing w:after="0" w:line="360" w:lineRule="auto"/>
        <w:jc w:val="center"/>
        <w:outlineLvl w:val="0"/>
        <w:rPr>
          <w:rFonts w:ascii="Times New Roman" w:eastAsia="Times New Roman" w:hAnsi="Times New Roman" w:cs="Times New Roman"/>
          <w:b/>
          <w:spacing w:val="2"/>
          <w:kern w:val="36"/>
          <w:sz w:val="26"/>
          <w:szCs w:val="26"/>
          <w14:ligatures w14:val="none"/>
        </w:rPr>
      </w:pPr>
      <w:r w:rsidRPr="008F571F">
        <w:rPr>
          <w:rFonts w:ascii="Times New Roman" w:eastAsia="Times New Roman" w:hAnsi="Times New Roman" w:cs="Times New Roman"/>
          <w:b/>
          <w:spacing w:val="2"/>
          <w:kern w:val="36"/>
          <w:sz w:val="26"/>
          <w:szCs w:val="26"/>
          <w14:ligatures w14:val="none"/>
        </w:rPr>
        <w:t>HỖ TRỢ TÍN D</w:t>
      </w:r>
      <w:r w:rsidR="009807D8">
        <w:rPr>
          <w:rFonts w:ascii="Times New Roman" w:eastAsia="Times New Roman" w:hAnsi="Times New Roman" w:cs="Times New Roman"/>
          <w:b/>
          <w:spacing w:val="2"/>
          <w:kern w:val="36"/>
          <w:sz w:val="26"/>
          <w:szCs w:val="26"/>
          <w14:ligatures w14:val="none"/>
        </w:rPr>
        <w:t xml:space="preserve">ỤNG CHO NGƯỜI LAO ĐỘNG ĐÓNG BẢO HIỂM XÃ HỘI </w:t>
      </w:r>
      <w:bookmarkStart w:id="0" w:name="_GoBack"/>
      <w:bookmarkEnd w:id="0"/>
      <w:r w:rsidRPr="008F571F">
        <w:rPr>
          <w:rFonts w:ascii="Times New Roman" w:eastAsia="Times New Roman" w:hAnsi="Times New Roman" w:cs="Times New Roman"/>
          <w:b/>
          <w:spacing w:val="2"/>
          <w:kern w:val="36"/>
          <w:sz w:val="26"/>
          <w:szCs w:val="26"/>
          <w14:ligatures w14:val="none"/>
        </w:rPr>
        <w:t xml:space="preserve"> MẤT VIỆC LÀM TỪ 01/7/2025</w:t>
      </w:r>
    </w:p>
    <w:p w:rsidR="00C84A89" w:rsidRPr="0033511E" w:rsidRDefault="008F571F" w:rsidP="00A55A50">
      <w:pPr>
        <w:spacing w:after="0" w:line="360" w:lineRule="auto"/>
        <w:ind w:left="4320" w:firstLine="720"/>
        <w:jc w:val="both"/>
        <w:rPr>
          <w:rFonts w:ascii="Times New Roman" w:hAnsi="Times New Roman" w:cs="Times New Roman"/>
          <w:sz w:val="26"/>
          <w:szCs w:val="26"/>
        </w:rPr>
      </w:pPr>
      <w:r w:rsidRPr="0033511E">
        <w:rPr>
          <w:rFonts w:ascii="Times New Roman" w:hAnsi="Times New Roman" w:cs="Times New Roman"/>
          <w:sz w:val="26"/>
          <w:szCs w:val="26"/>
        </w:rPr>
        <w:t>ThS. Mai Thị Quỳnh Như- Khoa Kế toán</w:t>
      </w:r>
    </w:p>
    <w:p w:rsidR="008F571F" w:rsidRPr="0033511E" w:rsidRDefault="008F571F" w:rsidP="0033511E">
      <w:pPr>
        <w:spacing w:after="0" w:line="360" w:lineRule="auto"/>
        <w:jc w:val="both"/>
        <w:rPr>
          <w:rFonts w:ascii="Times New Roman" w:hAnsi="Times New Roman" w:cs="Times New Roman"/>
          <w:sz w:val="26"/>
          <w:szCs w:val="26"/>
        </w:rPr>
      </w:pPr>
      <w:r w:rsidRPr="0033511E">
        <w:rPr>
          <w:rFonts w:ascii="Times New Roman" w:hAnsi="Times New Roman" w:cs="Times New Roman"/>
          <w:sz w:val="26"/>
          <w:szCs w:val="26"/>
        </w:rPr>
        <w:t>Theo Luật Bảo hiểm xã hội (BHXH) sửa đổi năm 2024, bắt đầu có hiệu lực từ ngày 01/7/2025, một điểm mới đáng chú ý là Nhà nước sẽ triển khai chính sách hỗ trợ về tín dụng cho người lao động có thời gian tham gia đóng BHXH nhưng bị mất việc làm. Chính sách này nhằm đảm bảo quyền lợi và tạo điều kiện hỗ trợ kịp thời cho người lao động trong việc ổn định cuộc sống, tìm kiếm việc làm mới hoặc chuyển đổi nghề nghiệp khi gặp khó khăn.</w:t>
      </w:r>
    </w:p>
    <w:p w:rsidR="008F571F" w:rsidRPr="0033511E" w:rsidRDefault="008F571F" w:rsidP="0033511E">
      <w:pPr>
        <w:spacing w:after="0" w:line="360" w:lineRule="auto"/>
        <w:jc w:val="both"/>
        <w:rPr>
          <w:rFonts w:ascii="Times New Roman" w:hAnsi="Times New Roman" w:cs="Times New Roman"/>
          <w:b/>
          <w:sz w:val="26"/>
          <w:szCs w:val="26"/>
        </w:rPr>
      </w:pPr>
      <w:r w:rsidRPr="0033511E">
        <w:rPr>
          <w:rFonts w:ascii="Times New Roman" w:hAnsi="Times New Roman" w:cs="Times New Roman"/>
          <w:b/>
          <w:sz w:val="26"/>
          <w:szCs w:val="26"/>
        </w:rPr>
        <w:t>1.Hỗ trợ tín dụng cho người lao động đóng BHXH mất việc làm từ 01/7/2025</w:t>
      </w:r>
    </w:p>
    <w:p w:rsidR="008F571F" w:rsidRPr="0033511E" w:rsidRDefault="008F571F" w:rsidP="0033511E">
      <w:pPr>
        <w:pStyle w:val="NormalWeb"/>
        <w:spacing w:before="0" w:beforeAutospacing="0" w:after="0" w:afterAutospacing="0" w:line="360" w:lineRule="auto"/>
        <w:jc w:val="both"/>
        <w:rPr>
          <w:sz w:val="26"/>
          <w:szCs w:val="26"/>
        </w:rPr>
      </w:pPr>
      <w:r w:rsidRPr="0033511E">
        <w:rPr>
          <w:sz w:val="26"/>
          <w:szCs w:val="26"/>
        </w:rPr>
        <w:t xml:space="preserve">Căn cứ vào </w:t>
      </w:r>
      <w:r w:rsidRPr="0033511E">
        <w:rPr>
          <w:rStyle w:val="Strong"/>
          <w:b w:val="0"/>
          <w:sz w:val="26"/>
          <w:szCs w:val="26"/>
        </w:rPr>
        <w:t>Điều 6 của Luật Bảo hiểm xã hội (BHXH) 2024</w:t>
      </w:r>
      <w:r w:rsidRPr="0033511E">
        <w:rPr>
          <w:sz w:val="26"/>
          <w:szCs w:val="26"/>
        </w:rPr>
        <w:t>, có hiệu lực từ ngày</w:t>
      </w:r>
      <w:r w:rsidRPr="0033511E">
        <w:rPr>
          <w:b/>
          <w:sz w:val="26"/>
          <w:szCs w:val="26"/>
        </w:rPr>
        <w:t xml:space="preserve"> </w:t>
      </w:r>
      <w:r w:rsidRPr="0033511E">
        <w:rPr>
          <w:rStyle w:val="Strong"/>
          <w:b w:val="0"/>
          <w:sz w:val="26"/>
          <w:szCs w:val="26"/>
        </w:rPr>
        <w:t>01/7/2025</w:t>
      </w:r>
      <w:r w:rsidRPr="0033511E">
        <w:rPr>
          <w:b/>
          <w:sz w:val="26"/>
          <w:szCs w:val="26"/>
        </w:rPr>
        <w:t>,</w:t>
      </w:r>
      <w:r w:rsidRPr="0033511E">
        <w:rPr>
          <w:sz w:val="26"/>
          <w:szCs w:val="26"/>
        </w:rPr>
        <w:t xml:space="preserve"> Nhà nước sẽ triển khai chính sách hỗ trợ tín dụng cho người lao động có thời gian đóng BHXH nhưng bị mất việc làm. Điều này nhằm đảm bảo người lao động có thể tiếp tục duy trì cuộc sống ổn định trong thời gian tìm kiếm việc làm mới hoặc chuyển đổi nghề nghiệp.</w:t>
      </w:r>
    </w:p>
    <w:p w:rsidR="008F571F" w:rsidRPr="0033511E" w:rsidRDefault="008F571F" w:rsidP="0033511E">
      <w:pPr>
        <w:pStyle w:val="NormalWeb"/>
        <w:spacing w:before="0" w:beforeAutospacing="0" w:after="0" w:afterAutospacing="0" w:line="360" w:lineRule="auto"/>
        <w:jc w:val="both"/>
        <w:rPr>
          <w:sz w:val="26"/>
          <w:szCs w:val="26"/>
        </w:rPr>
      </w:pPr>
      <w:r w:rsidRPr="0033511E">
        <w:rPr>
          <w:sz w:val="26"/>
          <w:szCs w:val="26"/>
        </w:rPr>
        <w:t>Cụ thể, các nội dung chính trong điều khoản này bao gồm:</w:t>
      </w:r>
    </w:p>
    <w:p w:rsidR="008F571F" w:rsidRPr="0033511E" w:rsidRDefault="0033511E" w:rsidP="0033511E">
      <w:pPr>
        <w:pStyle w:val="NormalWeb"/>
        <w:spacing w:before="0" w:beforeAutospacing="0" w:after="0" w:afterAutospacing="0" w:line="360" w:lineRule="auto"/>
        <w:jc w:val="both"/>
        <w:rPr>
          <w:sz w:val="26"/>
          <w:szCs w:val="26"/>
        </w:rPr>
      </w:pPr>
      <w:r w:rsidRPr="0033511E">
        <w:rPr>
          <w:rStyle w:val="Strong"/>
          <w:b w:val="0"/>
          <w:sz w:val="26"/>
          <w:szCs w:val="26"/>
        </w:rPr>
        <w:t xml:space="preserve">- </w:t>
      </w:r>
      <w:r w:rsidR="008F571F" w:rsidRPr="0033511E">
        <w:rPr>
          <w:rStyle w:val="Strong"/>
          <w:b w:val="0"/>
          <w:sz w:val="26"/>
          <w:szCs w:val="26"/>
        </w:rPr>
        <w:t>Hệ thống BHXH đa tầng</w:t>
      </w:r>
      <w:r w:rsidR="008F571F" w:rsidRPr="0033511E">
        <w:rPr>
          <w:b/>
          <w:sz w:val="26"/>
          <w:szCs w:val="26"/>
        </w:rPr>
        <w:t>:</w:t>
      </w:r>
      <w:r w:rsidR="008F571F" w:rsidRPr="0033511E">
        <w:rPr>
          <w:sz w:val="26"/>
          <w:szCs w:val="26"/>
        </w:rPr>
        <w:t xml:space="preserve"> Luật BHXH 2024 quy định xây dựng một hệ thống BHXH đa tầng, bao gồm trợ cấp hưu trí xã hội, BHXH bắt buộc, BHXH tự nguyện, và bảo hiểm hưu trí bổ sung. Mục tiêu là bao phủ toàn dân và phù hợp với điều kiện phát triển kinh tế - xã hội của đất nước.</w:t>
      </w:r>
    </w:p>
    <w:p w:rsidR="008F571F" w:rsidRPr="0033511E" w:rsidRDefault="0033511E" w:rsidP="0033511E">
      <w:pPr>
        <w:pStyle w:val="NormalWeb"/>
        <w:spacing w:before="0" w:beforeAutospacing="0" w:after="0" w:afterAutospacing="0" w:line="360" w:lineRule="auto"/>
        <w:jc w:val="both"/>
        <w:rPr>
          <w:sz w:val="26"/>
          <w:szCs w:val="26"/>
        </w:rPr>
      </w:pPr>
      <w:r w:rsidRPr="0033511E">
        <w:rPr>
          <w:rStyle w:val="Strong"/>
          <w:b w:val="0"/>
          <w:sz w:val="26"/>
          <w:szCs w:val="26"/>
        </w:rPr>
        <w:t xml:space="preserve">- </w:t>
      </w:r>
      <w:r w:rsidR="008F571F" w:rsidRPr="0033511E">
        <w:rPr>
          <w:rStyle w:val="Strong"/>
          <w:b w:val="0"/>
          <w:sz w:val="26"/>
          <w:szCs w:val="26"/>
        </w:rPr>
        <w:t>Chính sách hỗ trợ tín dụng</w:t>
      </w:r>
      <w:r w:rsidR="008F571F" w:rsidRPr="0033511E">
        <w:rPr>
          <w:b/>
          <w:sz w:val="26"/>
          <w:szCs w:val="26"/>
        </w:rPr>
        <w:t>:</w:t>
      </w:r>
      <w:r w:rsidR="008F571F" w:rsidRPr="0033511E">
        <w:rPr>
          <w:sz w:val="26"/>
          <w:szCs w:val="26"/>
        </w:rPr>
        <w:t xml:space="preserve"> Chính phủ sẽ có các chính sách tín dụng đặc biệt để hỗ trợ người lao động có thời gian đóng BHXH nhưng mất việc làm. Chính sách này giúp họ có thể vay vốn với lãi suất ưu đãi hoặc các hình thức tín dụng khác để vượt qua khó khăn tài chính trong thời gian thất nghiệp.</w:t>
      </w:r>
    </w:p>
    <w:p w:rsidR="008F571F" w:rsidRPr="0033511E" w:rsidRDefault="0033511E" w:rsidP="0033511E">
      <w:pPr>
        <w:pStyle w:val="NormalWeb"/>
        <w:spacing w:before="0" w:beforeAutospacing="0" w:after="0" w:afterAutospacing="0" w:line="360" w:lineRule="auto"/>
        <w:jc w:val="both"/>
        <w:rPr>
          <w:sz w:val="26"/>
          <w:szCs w:val="26"/>
        </w:rPr>
      </w:pPr>
      <w:r w:rsidRPr="0033511E">
        <w:rPr>
          <w:rStyle w:val="Strong"/>
          <w:b w:val="0"/>
          <w:sz w:val="26"/>
          <w:szCs w:val="26"/>
        </w:rPr>
        <w:t xml:space="preserve">- </w:t>
      </w:r>
      <w:r w:rsidR="008F571F" w:rsidRPr="0033511E">
        <w:rPr>
          <w:rStyle w:val="Strong"/>
          <w:b w:val="0"/>
          <w:sz w:val="26"/>
          <w:szCs w:val="26"/>
        </w:rPr>
        <w:t>Ngân sách Nhà nước</w:t>
      </w:r>
      <w:r w:rsidR="008F571F" w:rsidRPr="0033511E">
        <w:rPr>
          <w:b/>
          <w:sz w:val="26"/>
          <w:szCs w:val="26"/>
        </w:rPr>
        <w:t>:</w:t>
      </w:r>
      <w:r w:rsidR="008F571F" w:rsidRPr="0033511E">
        <w:rPr>
          <w:sz w:val="26"/>
          <w:szCs w:val="26"/>
        </w:rPr>
        <w:t xml:space="preserve"> Nhà nước sẽ bảo đảm các chế độ của trợ cấp hưu trí xã hội và một số chế độ khác theo quy định của Luật BHXH 2024.</w:t>
      </w:r>
    </w:p>
    <w:p w:rsidR="008F571F" w:rsidRPr="0033511E" w:rsidRDefault="0033511E" w:rsidP="0033511E">
      <w:pPr>
        <w:pStyle w:val="NormalWeb"/>
        <w:spacing w:before="0" w:beforeAutospacing="0" w:after="0" w:afterAutospacing="0" w:line="360" w:lineRule="auto"/>
        <w:jc w:val="both"/>
        <w:rPr>
          <w:sz w:val="26"/>
          <w:szCs w:val="26"/>
        </w:rPr>
      </w:pPr>
      <w:r w:rsidRPr="0033511E">
        <w:rPr>
          <w:rStyle w:val="Strong"/>
          <w:b w:val="0"/>
          <w:sz w:val="26"/>
          <w:szCs w:val="26"/>
        </w:rPr>
        <w:t xml:space="preserve">- </w:t>
      </w:r>
      <w:r w:rsidR="008F571F" w:rsidRPr="0033511E">
        <w:rPr>
          <w:rStyle w:val="Strong"/>
          <w:b w:val="0"/>
          <w:sz w:val="26"/>
          <w:szCs w:val="26"/>
        </w:rPr>
        <w:t>Bảo vệ quỹ BHXH</w:t>
      </w:r>
      <w:r w:rsidR="008F571F" w:rsidRPr="0033511E">
        <w:rPr>
          <w:b/>
          <w:sz w:val="26"/>
          <w:szCs w:val="26"/>
        </w:rPr>
        <w:t>:</w:t>
      </w:r>
      <w:r w:rsidR="008F571F" w:rsidRPr="0033511E">
        <w:rPr>
          <w:sz w:val="26"/>
          <w:szCs w:val="26"/>
        </w:rPr>
        <w:t xml:space="preserve"> Nhà nước cam kết bảo vệ và tăng trưởng quỹ BHXH, đảm bảo quyền lợi cho người tham gia.</w:t>
      </w:r>
    </w:p>
    <w:p w:rsidR="008F571F" w:rsidRPr="0033511E" w:rsidRDefault="0033511E" w:rsidP="0033511E">
      <w:pPr>
        <w:pStyle w:val="NormalWeb"/>
        <w:spacing w:before="0" w:beforeAutospacing="0" w:after="0" w:afterAutospacing="0" w:line="360" w:lineRule="auto"/>
        <w:jc w:val="both"/>
        <w:rPr>
          <w:sz w:val="26"/>
          <w:szCs w:val="26"/>
        </w:rPr>
      </w:pPr>
      <w:r w:rsidRPr="0033511E">
        <w:rPr>
          <w:rStyle w:val="Strong"/>
          <w:b w:val="0"/>
          <w:sz w:val="26"/>
          <w:szCs w:val="26"/>
        </w:rPr>
        <w:lastRenderedPageBreak/>
        <w:t xml:space="preserve">- </w:t>
      </w:r>
      <w:r w:rsidR="008F571F" w:rsidRPr="0033511E">
        <w:rPr>
          <w:rStyle w:val="Strong"/>
          <w:b w:val="0"/>
          <w:sz w:val="26"/>
          <w:szCs w:val="26"/>
        </w:rPr>
        <w:t>Hỗ trợ BHXH tự nguyện</w:t>
      </w:r>
      <w:r w:rsidR="008F571F" w:rsidRPr="0033511E">
        <w:rPr>
          <w:b/>
          <w:sz w:val="26"/>
          <w:szCs w:val="26"/>
        </w:rPr>
        <w:t>:</w:t>
      </w:r>
      <w:r w:rsidR="008F571F" w:rsidRPr="0033511E">
        <w:rPr>
          <w:sz w:val="26"/>
          <w:szCs w:val="26"/>
        </w:rPr>
        <w:t xml:space="preserve"> Chính sách cũng hỗ trợ người tham gia BHXH tự nguyện, tạo điều kiện thuận lợi cho những người không thuộc diện bắt buộc nhưng mong muốn tham gia BHXH.</w:t>
      </w:r>
    </w:p>
    <w:p w:rsidR="008F571F" w:rsidRPr="0033511E" w:rsidRDefault="0033511E" w:rsidP="0033511E">
      <w:pPr>
        <w:pStyle w:val="NormalWeb"/>
        <w:spacing w:before="0" w:beforeAutospacing="0" w:after="0" w:afterAutospacing="0" w:line="360" w:lineRule="auto"/>
        <w:jc w:val="both"/>
        <w:rPr>
          <w:sz w:val="26"/>
          <w:szCs w:val="26"/>
        </w:rPr>
      </w:pPr>
      <w:r w:rsidRPr="0033511E">
        <w:rPr>
          <w:rStyle w:val="Strong"/>
          <w:b w:val="0"/>
          <w:sz w:val="26"/>
          <w:szCs w:val="26"/>
        </w:rPr>
        <w:t xml:space="preserve">- </w:t>
      </w:r>
      <w:r w:rsidR="008F571F" w:rsidRPr="0033511E">
        <w:rPr>
          <w:rStyle w:val="Strong"/>
          <w:b w:val="0"/>
          <w:sz w:val="26"/>
          <w:szCs w:val="26"/>
        </w:rPr>
        <w:t>Khuyến khích tham gia bảo hiểm hưu trí bổ sung</w:t>
      </w:r>
      <w:r w:rsidR="008F571F" w:rsidRPr="0033511E">
        <w:rPr>
          <w:b/>
          <w:sz w:val="26"/>
          <w:szCs w:val="26"/>
        </w:rPr>
        <w:t>:</w:t>
      </w:r>
      <w:r w:rsidR="008F571F" w:rsidRPr="0033511E">
        <w:rPr>
          <w:sz w:val="26"/>
          <w:szCs w:val="26"/>
        </w:rPr>
        <w:t xml:space="preserve"> Chính phủ sẽ khuyến khích người dân tham gia bảo hiểm hưu trí bổ sung để tăng cường sự bảo vệ về tài chính trong tương lai.</w:t>
      </w:r>
    </w:p>
    <w:p w:rsidR="008F571F" w:rsidRPr="0033511E" w:rsidRDefault="0033511E" w:rsidP="0033511E">
      <w:pPr>
        <w:pStyle w:val="NormalWeb"/>
        <w:spacing w:before="0" w:beforeAutospacing="0" w:after="0" w:afterAutospacing="0" w:line="360" w:lineRule="auto"/>
        <w:jc w:val="both"/>
        <w:rPr>
          <w:sz w:val="26"/>
          <w:szCs w:val="26"/>
        </w:rPr>
      </w:pPr>
      <w:r w:rsidRPr="0033511E">
        <w:rPr>
          <w:rStyle w:val="Strong"/>
          <w:b w:val="0"/>
          <w:sz w:val="26"/>
          <w:szCs w:val="26"/>
        </w:rPr>
        <w:t xml:space="preserve">- </w:t>
      </w:r>
      <w:r w:rsidR="008F571F" w:rsidRPr="0033511E">
        <w:rPr>
          <w:rStyle w:val="Strong"/>
          <w:b w:val="0"/>
          <w:sz w:val="26"/>
          <w:szCs w:val="26"/>
        </w:rPr>
        <w:t>Hỗ trợ các địa phương</w:t>
      </w:r>
      <w:r w:rsidR="008F571F" w:rsidRPr="0033511E">
        <w:rPr>
          <w:b/>
          <w:sz w:val="26"/>
          <w:szCs w:val="26"/>
        </w:rPr>
        <w:t>:</w:t>
      </w:r>
      <w:r w:rsidR="008F571F" w:rsidRPr="0033511E">
        <w:rPr>
          <w:sz w:val="26"/>
          <w:szCs w:val="26"/>
        </w:rPr>
        <w:t xml:space="preserve"> Các địa phương có thể dựa trên điều kiện kinh tế - xã hội và ngân sách để hỗ trợ thêm tiền đóng BHXH cho người tham gia BHXH tự nguyện và hỗ trợ cho người hưởng trợ cấp hưu trí xã hội.</w:t>
      </w:r>
    </w:p>
    <w:p w:rsidR="008F571F" w:rsidRPr="0033511E" w:rsidRDefault="0033511E" w:rsidP="0033511E">
      <w:pPr>
        <w:pStyle w:val="NormalWeb"/>
        <w:spacing w:before="0" w:beforeAutospacing="0" w:after="0" w:afterAutospacing="0" w:line="360" w:lineRule="auto"/>
        <w:jc w:val="both"/>
        <w:rPr>
          <w:sz w:val="26"/>
          <w:szCs w:val="26"/>
        </w:rPr>
      </w:pPr>
      <w:r w:rsidRPr="0033511E">
        <w:rPr>
          <w:rStyle w:val="Strong"/>
          <w:b w:val="0"/>
          <w:sz w:val="26"/>
          <w:szCs w:val="26"/>
        </w:rPr>
        <w:t xml:space="preserve">- </w:t>
      </w:r>
      <w:r w:rsidR="008F571F" w:rsidRPr="0033511E">
        <w:rPr>
          <w:rStyle w:val="Strong"/>
          <w:b w:val="0"/>
          <w:sz w:val="26"/>
          <w:szCs w:val="26"/>
        </w:rPr>
        <w:t>Cải cách và phát triển hệ thống BHXH</w:t>
      </w:r>
      <w:r w:rsidR="008F571F" w:rsidRPr="0033511E">
        <w:rPr>
          <w:b/>
          <w:sz w:val="26"/>
          <w:szCs w:val="26"/>
        </w:rPr>
        <w:t>:</w:t>
      </w:r>
      <w:r w:rsidR="008F571F" w:rsidRPr="0033511E">
        <w:rPr>
          <w:sz w:val="26"/>
          <w:szCs w:val="26"/>
        </w:rPr>
        <w:t xml:space="preserve"> Nhà nước sẽ hoàn thiện pháp luật và chính sách về BHXH, phát triển hệ thống tổ chức thực hiện BHXH chuyên nghiệp, hiện đại, minh bạch, hiệu quả, và ưu tiên đầu tư vào hạ tầng công nghệ thông tin để đáp ứng yêu cầu chuyển đổi số và giao dịch điện tử.</w:t>
      </w:r>
    </w:p>
    <w:p w:rsidR="008F571F" w:rsidRPr="0033511E" w:rsidRDefault="008F571F" w:rsidP="0033511E">
      <w:pPr>
        <w:pStyle w:val="NormalWeb"/>
        <w:spacing w:before="0" w:beforeAutospacing="0" w:after="0" w:afterAutospacing="0" w:line="360" w:lineRule="auto"/>
        <w:jc w:val="both"/>
        <w:rPr>
          <w:sz w:val="26"/>
          <w:szCs w:val="26"/>
        </w:rPr>
      </w:pPr>
      <w:r w:rsidRPr="0033511E">
        <w:rPr>
          <w:sz w:val="26"/>
          <w:szCs w:val="26"/>
        </w:rPr>
        <w:t>Như vậy, chính sách tín dụng hỗ trợ cho người lao động mất việc làm sẽ là một phần quan trọng trong hệ thống BHXH, giúp người lao động có thể tiếp tục duy trì cuộc sống khi gặp khó khăn do mất việc, đồng thời tạo điều kiện thuận lợi để họ tái hòa nhập vào thị trường lao động.</w:t>
      </w:r>
    </w:p>
    <w:p w:rsidR="008F571F" w:rsidRPr="0033511E" w:rsidRDefault="008F571F" w:rsidP="0033511E">
      <w:pPr>
        <w:pStyle w:val="Heading2"/>
        <w:shd w:val="clear" w:color="auto" w:fill="FFFFFF"/>
        <w:spacing w:before="0" w:line="360" w:lineRule="auto"/>
        <w:jc w:val="both"/>
        <w:rPr>
          <w:rFonts w:ascii="Times New Roman" w:hAnsi="Times New Roman" w:cs="Times New Roman"/>
          <w:color w:val="auto"/>
          <w:spacing w:val="2"/>
        </w:rPr>
      </w:pPr>
      <w:r w:rsidRPr="0033511E">
        <w:rPr>
          <w:rStyle w:val="Strong"/>
          <w:rFonts w:ascii="Times New Roman" w:hAnsi="Times New Roman" w:cs="Times New Roman"/>
          <w:bCs w:val="0"/>
          <w:color w:val="auto"/>
          <w:spacing w:val="2"/>
        </w:rPr>
        <w:t>2. Một số điểm mới Luật Bảo hiểm xã hội 2024</w:t>
      </w:r>
    </w:p>
    <w:p w:rsidR="008F571F" w:rsidRPr="0033511E" w:rsidRDefault="008F571F" w:rsidP="0033511E">
      <w:pPr>
        <w:pStyle w:val="Heading3"/>
        <w:spacing w:before="0" w:line="360" w:lineRule="auto"/>
        <w:jc w:val="both"/>
        <w:rPr>
          <w:rFonts w:ascii="Times New Roman" w:hAnsi="Times New Roman" w:cs="Times New Roman"/>
          <w:color w:val="auto"/>
          <w:sz w:val="26"/>
          <w:szCs w:val="26"/>
        </w:rPr>
      </w:pPr>
      <w:r w:rsidRPr="0033511E">
        <w:rPr>
          <w:rStyle w:val="Strong"/>
          <w:rFonts w:ascii="Times New Roman" w:hAnsi="Times New Roman" w:cs="Times New Roman"/>
          <w:b w:val="0"/>
          <w:bCs w:val="0"/>
          <w:color w:val="auto"/>
          <w:sz w:val="26"/>
          <w:szCs w:val="26"/>
        </w:rPr>
        <w:t>2.1. Kéo dài thời hạn đóng BHXH bắt buộc từ ngày 01/7/2025</w:t>
      </w:r>
    </w:p>
    <w:p w:rsidR="008F571F" w:rsidRPr="0033511E" w:rsidRDefault="008F571F" w:rsidP="0033511E">
      <w:pPr>
        <w:pStyle w:val="NormalWeb"/>
        <w:spacing w:before="0" w:beforeAutospacing="0" w:after="0" w:afterAutospacing="0" w:line="360" w:lineRule="auto"/>
        <w:jc w:val="both"/>
        <w:rPr>
          <w:sz w:val="26"/>
          <w:szCs w:val="26"/>
        </w:rPr>
      </w:pPr>
      <w:r w:rsidRPr="0033511E">
        <w:rPr>
          <w:sz w:val="26"/>
          <w:szCs w:val="26"/>
        </w:rPr>
        <w:t xml:space="preserve">Căn cứ </w:t>
      </w:r>
      <w:r w:rsidRPr="0033511E">
        <w:rPr>
          <w:rStyle w:val="Strong"/>
          <w:b w:val="0"/>
          <w:sz w:val="26"/>
          <w:szCs w:val="26"/>
        </w:rPr>
        <w:t>khoản 4 Điều 34 Luật Bảo hiểm xã hội 2024</w:t>
      </w:r>
      <w:r w:rsidRPr="0033511E">
        <w:rPr>
          <w:b/>
          <w:sz w:val="26"/>
          <w:szCs w:val="26"/>
        </w:rPr>
        <w:t>,</w:t>
      </w:r>
      <w:r w:rsidRPr="0033511E">
        <w:rPr>
          <w:sz w:val="26"/>
          <w:szCs w:val="26"/>
        </w:rPr>
        <w:t xml:space="preserve"> thời hạn đóng BHXH bắt buộc đối với người sử dụng lao động sẽ được </w:t>
      </w:r>
      <w:r w:rsidRPr="0033511E">
        <w:rPr>
          <w:rStyle w:val="Strong"/>
          <w:b w:val="0"/>
          <w:sz w:val="26"/>
          <w:szCs w:val="26"/>
        </w:rPr>
        <w:t>kéo dài thêm 01 tháng</w:t>
      </w:r>
      <w:r w:rsidRPr="0033511E">
        <w:rPr>
          <w:sz w:val="26"/>
          <w:szCs w:val="26"/>
        </w:rPr>
        <w:t xml:space="preserve"> so với quy định trong Luật Bảo hiểm xã hội 2014. Cụ thể:</w:t>
      </w:r>
    </w:p>
    <w:p w:rsidR="008F571F" w:rsidRPr="0033511E" w:rsidRDefault="0033511E" w:rsidP="0033511E">
      <w:pPr>
        <w:spacing w:after="0" w:line="36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008F571F" w:rsidRPr="0033511E">
        <w:rPr>
          <w:rFonts w:ascii="Times New Roman" w:hAnsi="Times New Roman" w:cs="Times New Roman"/>
          <w:sz w:val="26"/>
          <w:szCs w:val="26"/>
        </w:rPr>
        <w:t xml:space="preserve">Đối với phương thức đóng hàng tháng, thời hạn đóng BHXH là </w:t>
      </w:r>
      <w:r w:rsidR="008F571F" w:rsidRPr="0033511E">
        <w:rPr>
          <w:rStyle w:val="Strong"/>
          <w:rFonts w:ascii="Times New Roman" w:hAnsi="Times New Roman" w:cs="Times New Roman"/>
          <w:b w:val="0"/>
          <w:sz w:val="26"/>
          <w:szCs w:val="26"/>
        </w:rPr>
        <w:t>ngày cuối cùng của tháng tiếp theo</w:t>
      </w:r>
      <w:r w:rsidR="008F571F" w:rsidRPr="0033511E">
        <w:rPr>
          <w:rFonts w:ascii="Times New Roman" w:hAnsi="Times New Roman" w:cs="Times New Roman"/>
          <w:b/>
          <w:sz w:val="26"/>
          <w:szCs w:val="26"/>
        </w:rPr>
        <w:t>.</w:t>
      </w:r>
    </w:p>
    <w:p w:rsidR="008F571F" w:rsidRPr="0033511E" w:rsidRDefault="0033511E" w:rsidP="003351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F571F" w:rsidRPr="0033511E">
        <w:rPr>
          <w:rFonts w:ascii="Times New Roman" w:hAnsi="Times New Roman" w:cs="Times New Roman"/>
          <w:sz w:val="26"/>
          <w:szCs w:val="26"/>
        </w:rPr>
        <w:t xml:space="preserve">Đối với phương thức đóng 3 tháng một lần hoặc 6 tháng một lần, thời hạn đóng BHXH là </w:t>
      </w:r>
      <w:r w:rsidR="008F571F" w:rsidRPr="0033511E">
        <w:rPr>
          <w:rStyle w:val="Strong"/>
          <w:rFonts w:ascii="Times New Roman" w:hAnsi="Times New Roman" w:cs="Times New Roman"/>
          <w:b w:val="0"/>
          <w:sz w:val="26"/>
          <w:szCs w:val="26"/>
        </w:rPr>
        <w:t>ngày cuối cùng của tháng tiếp theo ngay sau chu kỳ đóng</w:t>
      </w:r>
      <w:r w:rsidR="008F571F" w:rsidRPr="0033511E">
        <w:rPr>
          <w:rFonts w:ascii="Times New Roman" w:hAnsi="Times New Roman" w:cs="Times New Roman"/>
          <w:b/>
          <w:sz w:val="26"/>
          <w:szCs w:val="26"/>
        </w:rPr>
        <w:t>.</w:t>
      </w:r>
    </w:p>
    <w:p w:rsidR="008F571F" w:rsidRPr="0033511E" w:rsidRDefault="008F571F" w:rsidP="0033511E">
      <w:pPr>
        <w:pStyle w:val="NormalWeb"/>
        <w:spacing w:before="0" w:beforeAutospacing="0" w:after="0" w:afterAutospacing="0" w:line="360" w:lineRule="auto"/>
        <w:jc w:val="both"/>
        <w:rPr>
          <w:sz w:val="26"/>
          <w:szCs w:val="26"/>
        </w:rPr>
      </w:pPr>
      <w:r w:rsidRPr="0033511E">
        <w:rPr>
          <w:sz w:val="26"/>
          <w:szCs w:val="26"/>
        </w:rPr>
        <w:t xml:space="preserve">Như vậy, từ ngày </w:t>
      </w:r>
      <w:r w:rsidRPr="0033511E">
        <w:rPr>
          <w:rStyle w:val="Strong"/>
          <w:sz w:val="26"/>
          <w:szCs w:val="26"/>
        </w:rPr>
        <w:t>01/7/2025</w:t>
      </w:r>
      <w:r w:rsidRPr="0033511E">
        <w:rPr>
          <w:sz w:val="26"/>
          <w:szCs w:val="26"/>
        </w:rPr>
        <w:t>, người sử dụng lao động sẽ có thêm 01 tháng để thực hiện nghĩa vụ đóng BHXH mà không bị xem là chậm trễ so với quy định trước đây. Điều này sẽ giúp giảm bớt áp lực về thời gian cho người sử dụng lao động trong việc thực hiện nghĩa vụ đóng BHXH cho người lao động.</w:t>
      </w:r>
    </w:p>
    <w:p w:rsidR="008F571F" w:rsidRPr="00F7026E" w:rsidRDefault="008F571F" w:rsidP="0033511E">
      <w:pPr>
        <w:pStyle w:val="Heading3"/>
        <w:spacing w:before="0" w:line="360" w:lineRule="auto"/>
        <w:jc w:val="both"/>
        <w:rPr>
          <w:rFonts w:ascii="Times New Roman" w:hAnsi="Times New Roman" w:cs="Times New Roman"/>
          <w:color w:val="auto"/>
          <w:sz w:val="26"/>
          <w:szCs w:val="26"/>
        </w:rPr>
      </w:pPr>
      <w:r w:rsidRPr="00F7026E">
        <w:rPr>
          <w:rStyle w:val="Strong"/>
          <w:rFonts w:ascii="Times New Roman" w:hAnsi="Times New Roman" w:cs="Times New Roman"/>
          <w:bCs w:val="0"/>
          <w:color w:val="auto"/>
          <w:sz w:val="26"/>
          <w:szCs w:val="26"/>
        </w:rPr>
        <w:lastRenderedPageBreak/>
        <w:t>2.2. Nghỉ việc hưởng chế độ ốm đau từ 14 ngày trở lên vẫn phải đóng BHXH</w:t>
      </w:r>
    </w:p>
    <w:p w:rsidR="008F571F" w:rsidRPr="0033511E" w:rsidRDefault="008F571F" w:rsidP="0033511E">
      <w:pPr>
        <w:pStyle w:val="NormalWeb"/>
        <w:spacing w:before="0" w:beforeAutospacing="0" w:after="0" w:afterAutospacing="0" w:line="360" w:lineRule="auto"/>
        <w:jc w:val="both"/>
        <w:rPr>
          <w:sz w:val="26"/>
          <w:szCs w:val="26"/>
        </w:rPr>
      </w:pPr>
      <w:r w:rsidRPr="0033511E">
        <w:rPr>
          <w:sz w:val="26"/>
          <w:szCs w:val="26"/>
        </w:rPr>
        <w:t xml:space="preserve">Căn cứ </w:t>
      </w:r>
      <w:r w:rsidRPr="00F7026E">
        <w:rPr>
          <w:rStyle w:val="Strong"/>
          <w:b w:val="0"/>
          <w:sz w:val="26"/>
          <w:szCs w:val="26"/>
        </w:rPr>
        <w:t>khoản 6 Điều 33 Luật Bảo hiểm xã hội 2024</w:t>
      </w:r>
      <w:r w:rsidRPr="00F7026E">
        <w:rPr>
          <w:sz w:val="26"/>
          <w:szCs w:val="26"/>
        </w:rPr>
        <w:t xml:space="preserve">, nếu người lao động nghỉ việc hưởng chế độ ốm đau từ </w:t>
      </w:r>
      <w:r w:rsidRPr="00F7026E">
        <w:rPr>
          <w:rStyle w:val="Strong"/>
          <w:b w:val="0"/>
          <w:sz w:val="26"/>
          <w:szCs w:val="26"/>
        </w:rPr>
        <w:t>14 ngày làm việc trở lên</w:t>
      </w:r>
      <w:r w:rsidRPr="0033511E">
        <w:rPr>
          <w:sz w:val="26"/>
          <w:szCs w:val="26"/>
        </w:rPr>
        <w:t xml:space="preserve"> trong tháng đầu làm việc hoặc tháng đầu trở lại làm việc thì vẫn phải đóng BHXH cho tháng đó. Điều này khác với quy định hiện hành tại </w:t>
      </w:r>
      <w:r w:rsidRPr="00F7026E">
        <w:rPr>
          <w:rStyle w:val="Strong"/>
          <w:b w:val="0"/>
          <w:sz w:val="26"/>
          <w:szCs w:val="26"/>
        </w:rPr>
        <w:t>khoản 5 Điều 42 Quyết định 595/QĐ-BHXH ngày 14/4/2017</w:t>
      </w:r>
      <w:r w:rsidRPr="00F7026E">
        <w:rPr>
          <w:b/>
          <w:sz w:val="26"/>
          <w:szCs w:val="26"/>
        </w:rPr>
        <w:t>,</w:t>
      </w:r>
      <w:r w:rsidRPr="0033511E">
        <w:rPr>
          <w:sz w:val="26"/>
          <w:szCs w:val="26"/>
        </w:rPr>
        <w:t xml:space="preserve"> trong đó người lao động nghỉ ốm đau từ 14 ngày trở lên trong tháng thì không phải đóng BHXH của tháng đó, nhưng vẫn được hưởng bảo hiểm y tế.</w:t>
      </w:r>
    </w:p>
    <w:p w:rsidR="008F571F" w:rsidRPr="0033511E" w:rsidRDefault="008F571F" w:rsidP="0033511E">
      <w:pPr>
        <w:pStyle w:val="NormalWeb"/>
        <w:spacing w:before="0" w:beforeAutospacing="0" w:after="0" w:afterAutospacing="0" w:line="360" w:lineRule="auto"/>
        <w:jc w:val="both"/>
        <w:rPr>
          <w:sz w:val="26"/>
          <w:szCs w:val="26"/>
        </w:rPr>
      </w:pPr>
      <w:r w:rsidRPr="0033511E">
        <w:rPr>
          <w:sz w:val="26"/>
          <w:szCs w:val="26"/>
        </w:rPr>
        <w:t>Với quy định mới, dù người lao động nghỉ ốm đau từ 14 ngày trở lên, họ vẫn phải tham gia đóng BHXH trong tháng đó, điều này giúp duy trì quyền lợi BHXH của người lao động trong suốt thời gian nghỉ việc.</w:t>
      </w:r>
    </w:p>
    <w:p w:rsidR="008F571F" w:rsidRPr="00F7026E" w:rsidRDefault="008F571F" w:rsidP="0033511E">
      <w:pPr>
        <w:pStyle w:val="Heading3"/>
        <w:spacing w:before="0" w:line="360" w:lineRule="auto"/>
        <w:jc w:val="both"/>
        <w:rPr>
          <w:rFonts w:ascii="Times New Roman" w:hAnsi="Times New Roman" w:cs="Times New Roman"/>
          <w:color w:val="auto"/>
          <w:sz w:val="26"/>
          <w:szCs w:val="26"/>
        </w:rPr>
      </w:pPr>
      <w:r w:rsidRPr="00F7026E">
        <w:rPr>
          <w:rStyle w:val="Strong"/>
          <w:rFonts w:ascii="Times New Roman" w:hAnsi="Times New Roman" w:cs="Times New Roman"/>
          <w:bCs w:val="0"/>
          <w:color w:val="auto"/>
          <w:sz w:val="26"/>
          <w:szCs w:val="26"/>
        </w:rPr>
        <w:t>2.3. Bỏ quy định rút BHXH một lần sau một năm nghỉ việc</w:t>
      </w:r>
    </w:p>
    <w:p w:rsidR="008F571F" w:rsidRPr="0033511E" w:rsidRDefault="008F571F" w:rsidP="0033511E">
      <w:pPr>
        <w:pStyle w:val="NormalWeb"/>
        <w:spacing w:before="0" w:beforeAutospacing="0" w:after="0" w:afterAutospacing="0" w:line="360" w:lineRule="auto"/>
        <w:jc w:val="both"/>
        <w:rPr>
          <w:sz w:val="26"/>
          <w:szCs w:val="26"/>
        </w:rPr>
      </w:pPr>
      <w:r w:rsidRPr="0033511E">
        <w:rPr>
          <w:sz w:val="26"/>
          <w:szCs w:val="26"/>
        </w:rPr>
        <w:t xml:space="preserve">Theo </w:t>
      </w:r>
      <w:r w:rsidRPr="00F7026E">
        <w:rPr>
          <w:rStyle w:val="Strong"/>
          <w:b w:val="0"/>
          <w:sz w:val="26"/>
          <w:szCs w:val="26"/>
        </w:rPr>
        <w:t>Luật Bảo hiểm xã hội 2024</w:t>
      </w:r>
      <w:r w:rsidRPr="00F7026E">
        <w:rPr>
          <w:b/>
          <w:sz w:val="26"/>
          <w:szCs w:val="26"/>
        </w:rPr>
        <w:t>,</w:t>
      </w:r>
      <w:r w:rsidRPr="0033511E">
        <w:rPr>
          <w:sz w:val="26"/>
          <w:szCs w:val="26"/>
        </w:rPr>
        <w:t xml:space="preserve"> bắt đầu từ ngày </w:t>
      </w:r>
      <w:r w:rsidRPr="00F7026E">
        <w:rPr>
          <w:rStyle w:val="Strong"/>
          <w:b w:val="0"/>
          <w:sz w:val="26"/>
          <w:szCs w:val="26"/>
        </w:rPr>
        <w:t>01/7/2025</w:t>
      </w:r>
      <w:r w:rsidRPr="00F7026E">
        <w:rPr>
          <w:sz w:val="26"/>
          <w:szCs w:val="26"/>
        </w:rPr>
        <w:t xml:space="preserve">, sẽ </w:t>
      </w:r>
      <w:r w:rsidRPr="00F7026E">
        <w:rPr>
          <w:rStyle w:val="Strong"/>
          <w:b w:val="0"/>
          <w:sz w:val="26"/>
          <w:szCs w:val="26"/>
        </w:rPr>
        <w:t>bỏ quy định cho phép rút BHXH một lần</w:t>
      </w:r>
      <w:r w:rsidRPr="00F7026E">
        <w:rPr>
          <w:b/>
          <w:sz w:val="26"/>
          <w:szCs w:val="26"/>
        </w:rPr>
        <w:t xml:space="preserve"> </w:t>
      </w:r>
      <w:r w:rsidRPr="0033511E">
        <w:rPr>
          <w:sz w:val="26"/>
          <w:szCs w:val="26"/>
        </w:rPr>
        <w:t>đối với người lao động sau một năm nghỉ việc, nếu người lao động không tham gia BHXH và chưa đủ 20 năm đóng BHXH. Điều này có nghĩa là người lao động không thể rút BHXH một lần nếu đã nghỉ việc trên 1 năm, trừ khi họ đáp ứng đủ điều kiện tham gia BHXH liên tục hoặc có đủ 20 năm đóng BHXH.</w:t>
      </w:r>
    </w:p>
    <w:p w:rsidR="008F571F" w:rsidRPr="0033511E" w:rsidRDefault="008F571F" w:rsidP="0033511E">
      <w:pPr>
        <w:pStyle w:val="NormalWeb"/>
        <w:spacing w:before="0" w:beforeAutospacing="0" w:after="0" w:afterAutospacing="0" w:line="360" w:lineRule="auto"/>
        <w:jc w:val="both"/>
        <w:rPr>
          <w:sz w:val="26"/>
          <w:szCs w:val="26"/>
        </w:rPr>
      </w:pPr>
      <w:r w:rsidRPr="0033511E">
        <w:rPr>
          <w:sz w:val="26"/>
          <w:szCs w:val="26"/>
        </w:rPr>
        <w:t>Chính sách này sẽ khuyến khích người lao động duy trì việc tham gia BHXH để hưởng các quyền lợi bảo hiểm lâu dài như hưu trí, ốm đau, thai sản, giúp bảo vệ quyền lợi tài chính cho người lao động trong suốt quá trình làm việc và sau khi nghỉ hưu.</w:t>
      </w:r>
    </w:p>
    <w:p w:rsidR="00F5126E" w:rsidRPr="00F5126E" w:rsidRDefault="00F5126E" w:rsidP="0033511E">
      <w:pPr>
        <w:spacing w:after="0" w:line="360" w:lineRule="auto"/>
        <w:jc w:val="both"/>
        <w:rPr>
          <w:rFonts w:ascii="Times New Roman" w:eastAsia="Times New Roman" w:hAnsi="Times New Roman" w:cs="Times New Roman"/>
          <w:kern w:val="0"/>
          <w:sz w:val="26"/>
          <w:szCs w:val="26"/>
          <w14:ligatures w14:val="none"/>
        </w:rPr>
      </w:pPr>
      <w:r w:rsidRPr="0033511E">
        <w:rPr>
          <w:rFonts w:ascii="Times New Roman" w:eastAsia="Times New Roman" w:hAnsi="Times New Roman" w:cs="Times New Roman"/>
          <w:b/>
          <w:bCs/>
          <w:kern w:val="0"/>
          <w:sz w:val="26"/>
          <w:szCs w:val="26"/>
          <w14:ligatures w14:val="none"/>
        </w:rPr>
        <w:t>2.4. Luật Bảo hiểm xã hội 2024 tạo điều kiện cho người lao động đã rút BHXH 1 lần được hưởng lương hưu</w:t>
      </w:r>
    </w:p>
    <w:p w:rsidR="00F5126E" w:rsidRPr="00F5126E" w:rsidRDefault="00F5126E" w:rsidP="0033511E">
      <w:pPr>
        <w:spacing w:after="0" w:line="360" w:lineRule="auto"/>
        <w:jc w:val="both"/>
        <w:rPr>
          <w:rFonts w:ascii="Times New Roman" w:eastAsia="Times New Roman" w:hAnsi="Times New Roman" w:cs="Times New Roman"/>
          <w:kern w:val="0"/>
          <w:sz w:val="26"/>
          <w:szCs w:val="26"/>
          <w14:ligatures w14:val="none"/>
        </w:rPr>
      </w:pPr>
      <w:r w:rsidRPr="00F5126E">
        <w:rPr>
          <w:rFonts w:ascii="Times New Roman" w:eastAsia="Times New Roman" w:hAnsi="Times New Roman" w:cs="Times New Roman"/>
          <w:kern w:val="0"/>
          <w:sz w:val="26"/>
          <w:szCs w:val="26"/>
          <w14:ligatures w14:val="none"/>
        </w:rPr>
        <w:t xml:space="preserve">Theo </w:t>
      </w:r>
      <w:r w:rsidRPr="00F7026E">
        <w:rPr>
          <w:rFonts w:ascii="Times New Roman" w:eastAsia="Times New Roman" w:hAnsi="Times New Roman" w:cs="Times New Roman"/>
          <w:bCs/>
          <w:kern w:val="0"/>
          <w:sz w:val="26"/>
          <w:szCs w:val="26"/>
          <w14:ligatures w14:val="none"/>
        </w:rPr>
        <w:t>Luật Bảo hiểm xã hội 2024</w:t>
      </w:r>
      <w:r w:rsidRPr="00F5126E">
        <w:rPr>
          <w:rFonts w:ascii="Times New Roman" w:eastAsia="Times New Roman" w:hAnsi="Times New Roman" w:cs="Times New Roman"/>
          <w:kern w:val="0"/>
          <w:sz w:val="26"/>
          <w:szCs w:val="26"/>
          <w14:ligatures w14:val="none"/>
        </w:rPr>
        <w:t xml:space="preserve">, có hiệu lực từ ngày </w:t>
      </w:r>
      <w:r w:rsidRPr="00F7026E">
        <w:rPr>
          <w:rFonts w:ascii="Times New Roman" w:eastAsia="Times New Roman" w:hAnsi="Times New Roman" w:cs="Times New Roman"/>
          <w:bCs/>
          <w:kern w:val="0"/>
          <w:sz w:val="26"/>
          <w:szCs w:val="26"/>
          <w14:ligatures w14:val="none"/>
        </w:rPr>
        <w:t>01/7/2025</w:t>
      </w:r>
      <w:r w:rsidRPr="00F5126E">
        <w:rPr>
          <w:rFonts w:ascii="Times New Roman" w:eastAsia="Times New Roman" w:hAnsi="Times New Roman" w:cs="Times New Roman"/>
          <w:kern w:val="0"/>
          <w:sz w:val="26"/>
          <w:szCs w:val="26"/>
          <w14:ligatures w14:val="none"/>
        </w:rPr>
        <w:t>, đã có sự thay đổi quan trọng trong quy định về quyền lợi lương hưu dành cho người lao động, đặc biệt là đối với những người đã rút BHXH một lần. Cụ thể, người lao động đã từng rút BHXH một lần nhưng đáp ứng đủ các điều kiện sau sẽ vẫn được hưởng lương hưu hàng tháng:</w:t>
      </w:r>
    </w:p>
    <w:p w:rsidR="00F5126E" w:rsidRPr="00F5126E" w:rsidRDefault="00F7026E" w:rsidP="00F7026E">
      <w:pPr>
        <w:spacing w:after="0" w:line="36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Cs/>
          <w:kern w:val="0"/>
          <w:sz w:val="26"/>
          <w:szCs w:val="26"/>
          <w14:ligatures w14:val="none"/>
        </w:rPr>
        <w:t xml:space="preserve">- </w:t>
      </w:r>
      <w:r w:rsidR="00F5126E" w:rsidRPr="00F7026E">
        <w:rPr>
          <w:rFonts w:ascii="Times New Roman" w:eastAsia="Times New Roman" w:hAnsi="Times New Roman" w:cs="Times New Roman"/>
          <w:bCs/>
          <w:kern w:val="0"/>
          <w:sz w:val="26"/>
          <w:szCs w:val="26"/>
          <w14:ligatures w14:val="none"/>
        </w:rPr>
        <w:t>Đủ tuổi nghỉ hưu</w:t>
      </w:r>
      <w:r w:rsidR="00F5126E" w:rsidRPr="00F5126E">
        <w:rPr>
          <w:rFonts w:ascii="Times New Roman" w:eastAsia="Times New Roman" w:hAnsi="Times New Roman" w:cs="Times New Roman"/>
          <w:kern w:val="0"/>
          <w:sz w:val="26"/>
          <w:szCs w:val="26"/>
          <w14:ligatures w14:val="none"/>
        </w:rPr>
        <w:t xml:space="preserve"> theo quy định.</w:t>
      </w:r>
    </w:p>
    <w:p w:rsidR="00F5126E" w:rsidRPr="00F5126E" w:rsidRDefault="00F7026E" w:rsidP="00F7026E">
      <w:pPr>
        <w:spacing w:after="0" w:line="36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Cs/>
          <w:kern w:val="0"/>
          <w:sz w:val="26"/>
          <w:szCs w:val="26"/>
          <w14:ligatures w14:val="none"/>
        </w:rPr>
        <w:t xml:space="preserve">- </w:t>
      </w:r>
      <w:r w:rsidR="00F5126E" w:rsidRPr="00F7026E">
        <w:rPr>
          <w:rFonts w:ascii="Times New Roman" w:eastAsia="Times New Roman" w:hAnsi="Times New Roman" w:cs="Times New Roman"/>
          <w:bCs/>
          <w:kern w:val="0"/>
          <w:sz w:val="26"/>
          <w:szCs w:val="26"/>
          <w14:ligatures w14:val="none"/>
        </w:rPr>
        <w:t>Có thời gian đóng BHXH từ 15 năm trở lên</w:t>
      </w:r>
      <w:r w:rsidR="00F5126E" w:rsidRPr="00F5126E">
        <w:rPr>
          <w:rFonts w:ascii="Times New Roman" w:eastAsia="Times New Roman" w:hAnsi="Times New Roman" w:cs="Times New Roman"/>
          <w:kern w:val="0"/>
          <w:sz w:val="26"/>
          <w:szCs w:val="26"/>
          <w14:ligatures w14:val="none"/>
        </w:rPr>
        <w:t>.</w:t>
      </w:r>
    </w:p>
    <w:p w:rsidR="00F5126E" w:rsidRPr="00F5126E" w:rsidRDefault="00F5126E" w:rsidP="0033511E">
      <w:pPr>
        <w:spacing w:after="0" w:line="360" w:lineRule="auto"/>
        <w:jc w:val="both"/>
        <w:rPr>
          <w:rFonts w:ascii="Times New Roman" w:eastAsia="Times New Roman" w:hAnsi="Times New Roman" w:cs="Times New Roman"/>
          <w:kern w:val="0"/>
          <w:sz w:val="26"/>
          <w:szCs w:val="26"/>
          <w14:ligatures w14:val="none"/>
        </w:rPr>
      </w:pPr>
      <w:r w:rsidRPr="00F5126E">
        <w:rPr>
          <w:rFonts w:ascii="Times New Roman" w:eastAsia="Times New Roman" w:hAnsi="Times New Roman" w:cs="Times New Roman"/>
          <w:kern w:val="0"/>
          <w:sz w:val="26"/>
          <w:szCs w:val="26"/>
          <w14:ligatures w14:val="none"/>
        </w:rPr>
        <w:t xml:space="preserve">Trước đây, để đủ điều kiện nhận lương hưu, người lao động phải có ít nhất </w:t>
      </w:r>
      <w:r w:rsidRPr="005B0FF9">
        <w:rPr>
          <w:rFonts w:ascii="Times New Roman" w:eastAsia="Times New Roman" w:hAnsi="Times New Roman" w:cs="Times New Roman"/>
          <w:bCs/>
          <w:kern w:val="0"/>
          <w:sz w:val="26"/>
          <w:szCs w:val="26"/>
          <w14:ligatures w14:val="none"/>
        </w:rPr>
        <w:t>20 năm đóng BHXH</w:t>
      </w:r>
      <w:r w:rsidRPr="00F5126E">
        <w:rPr>
          <w:rFonts w:ascii="Times New Roman" w:eastAsia="Times New Roman" w:hAnsi="Times New Roman" w:cs="Times New Roman"/>
          <w:kern w:val="0"/>
          <w:sz w:val="26"/>
          <w:szCs w:val="26"/>
          <w14:ligatures w14:val="none"/>
        </w:rPr>
        <w:t xml:space="preserve">. Tuy nhiên, với quy định mới, thời gian đóng BHXH chỉ cần </w:t>
      </w:r>
      <w:r w:rsidRPr="005B0FF9">
        <w:rPr>
          <w:rFonts w:ascii="Times New Roman" w:eastAsia="Times New Roman" w:hAnsi="Times New Roman" w:cs="Times New Roman"/>
          <w:bCs/>
          <w:kern w:val="0"/>
          <w:sz w:val="26"/>
          <w:szCs w:val="26"/>
          <w14:ligatures w14:val="none"/>
        </w:rPr>
        <w:t>15 năm</w:t>
      </w:r>
      <w:r w:rsidRPr="00F5126E">
        <w:rPr>
          <w:rFonts w:ascii="Times New Roman" w:eastAsia="Times New Roman" w:hAnsi="Times New Roman" w:cs="Times New Roman"/>
          <w:kern w:val="0"/>
          <w:sz w:val="26"/>
          <w:szCs w:val="26"/>
          <w14:ligatures w14:val="none"/>
        </w:rPr>
        <w:t xml:space="preserve"> là đủ, điều </w:t>
      </w:r>
      <w:r w:rsidRPr="00F5126E">
        <w:rPr>
          <w:rFonts w:ascii="Times New Roman" w:eastAsia="Times New Roman" w:hAnsi="Times New Roman" w:cs="Times New Roman"/>
          <w:kern w:val="0"/>
          <w:sz w:val="26"/>
          <w:szCs w:val="26"/>
          <w14:ligatures w14:val="none"/>
        </w:rPr>
        <w:lastRenderedPageBreak/>
        <w:t xml:space="preserve">này tạo điều kiện thuận lợi cho những người đã rút BHXH một lần hoặc tham gia muộn (như người lao động từ </w:t>
      </w:r>
      <w:r w:rsidRPr="005B0FF9">
        <w:rPr>
          <w:rFonts w:ascii="Times New Roman" w:eastAsia="Times New Roman" w:hAnsi="Times New Roman" w:cs="Times New Roman"/>
          <w:bCs/>
          <w:kern w:val="0"/>
          <w:sz w:val="26"/>
          <w:szCs w:val="26"/>
          <w14:ligatures w14:val="none"/>
        </w:rPr>
        <w:t>45-47 tuổi</w:t>
      </w:r>
      <w:r w:rsidRPr="00F5126E">
        <w:rPr>
          <w:rFonts w:ascii="Times New Roman" w:eastAsia="Times New Roman" w:hAnsi="Times New Roman" w:cs="Times New Roman"/>
          <w:kern w:val="0"/>
          <w:sz w:val="26"/>
          <w:szCs w:val="26"/>
          <w14:ligatures w14:val="none"/>
        </w:rPr>
        <w:t>) nhưng vẫn có thể tích lũy đủ thời gian đóng BHXH để hưởng lương hưu.</w:t>
      </w:r>
    </w:p>
    <w:p w:rsidR="00F5126E" w:rsidRPr="00F5126E" w:rsidRDefault="00F5126E" w:rsidP="0033511E">
      <w:pPr>
        <w:spacing w:after="0" w:line="360" w:lineRule="auto"/>
        <w:jc w:val="both"/>
        <w:rPr>
          <w:rFonts w:ascii="Times New Roman" w:eastAsia="Times New Roman" w:hAnsi="Times New Roman" w:cs="Times New Roman"/>
          <w:kern w:val="0"/>
          <w:sz w:val="26"/>
          <w:szCs w:val="26"/>
          <w14:ligatures w14:val="none"/>
        </w:rPr>
      </w:pPr>
      <w:r w:rsidRPr="00F5126E">
        <w:rPr>
          <w:rFonts w:ascii="Times New Roman" w:eastAsia="Times New Roman" w:hAnsi="Times New Roman" w:cs="Times New Roman"/>
          <w:kern w:val="0"/>
          <w:sz w:val="26"/>
          <w:szCs w:val="26"/>
          <w14:ligatures w14:val="none"/>
        </w:rPr>
        <w:t>Chính sách này giúp người lao động có cơ hội bảo vệ tài chính lâu dài khi về già, đặc biệt là những người đã rút BHXH trước đây nhưng sau đó tiếp tục tham gia BHXH hoặc gia nhập muộn. Đây là một trong những cải cách quan trọng của Luật Bảo hiểm xã hội 2024, nhằm đảm bảo quyền lợi cho người lao động và khuyến khích họ tham gia BHXH lâu dài để có một cuộc sống ổn định khi nghỉ hưu.</w:t>
      </w:r>
    </w:p>
    <w:p w:rsidR="008F571F" w:rsidRPr="005B0FF9" w:rsidRDefault="00F5126E" w:rsidP="0033511E">
      <w:pPr>
        <w:spacing w:after="0" w:line="360" w:lineRule="auto"/>
        <w:jc w:val="both"/>
        <w:rPr>
          <w:rFonts w:ascii="Times New Roman" w:hAnsi="Times New Roman" w:cs="Times New Roman"/>
          <w:b/>
          <w:sz w:val="26"/>
          <w:szCs w:val="26"/>
        </w:rPr>
      </w:pPr>
      <w:r w:rsidRPr="005B0FF9">
        <w:rPr>
          <w:rFonts w:ascii="Times New Roman" w:hAnsi="Times New Roman" w:cs="Times New Roman"/>
          <w:b/>
          <w:sz w:val="26"/>
          <w:szCs w:val="26"/>
        </w:rPr>
        <w:t>3.Kết luận</w:t>
      </w:r>
    </w:p>
    <w:p w:rsidR="00F5126E" w:rsidRPr="0033511E" w:rsidRDefault="00F5126E" w:rsidP="0033511E">
      <w:pPr>
        <w:spacing w:after="0" w:line="360" w:lineRule="auto"/>
        <w:jc w:val="both"/>
        <w:rPr>
          <w:rFonts w:ascii="Times New Roman" w:hAnsi="Times New Roman" w:cs="Times New Roman"/>
          <w:sz w:val="26"/>
          <w:szCs w:val="26"/>
        </w:rPr>
      </w:pPr>
      <w:r w:rsidRPr="0033511E">
        <w:rPr>
          <w:rFonts w:ascii="Times New Roman" w:hAnsi="Times New Roman" w:cs="Times New Roman"/>
          <w:sz w:val="26"/>
          <w:szCs w:val="26"/>
        </w:rPr>
        <w:t>Luật Bảo hiểm xã hội 2024, có hiệu lực từ ngày 01/7/2025, mang đến những thay đổi quan trọng trong chính sách bảo hiểm xã hội, nhằm cải thiện quyền lợi của người lao động và đáp ứng các yêu cầu phát triển kinh tế - xã hội. Những điều chỉnh như kéo dài thời hạn đóng BHXH bắt buộc, yêu cầu đóng BHXH trong trường hợp nghỉ ốm đau kéo dài, và việc bỏ quy định rút BHXH một lần sau một năm nghỉ việc là những bước đi đáng chú ý trong việc nâng cao hiệu quả của hệ thống BHXH. Đặc biệt, việc tạo điều kiện cho người lao động đã rút BHXH một lần vẫn có thể hưởng lương hưu khi đủ điều kiện sẽ khuyến khích họ tiếp tục tham gia BHXH, đảm bảo an sinh lâu dài. Các chính sách này không chỉ bảo vệ quyền lợi của người lao động mà còn đóng góp vào sự phát triển bền vững của hệ thống BHXH, góp phần nâng cao chất lượng cuộc sống của người lao động và tạo nền tảng vững chắc cho sự phát triển xã hội.</w:t>
      </w:r>
    </w:p>
    <w:p w:rsidR="00F5126E" w:rsidRPr="00DF3C8A" w:rsidRDefault="00F5126E" w:rsidP="0033511E">
      <w:pPr>
        <w:spacing w:after="0" w:line="360" w:lineRule="auto"/>
        <w:jc w:val="both"/>
        <w:rPr>
          <w:rFonts w:ascii="Times New Roman" w:hAnsi="Times New Roman" w:cs="Times New Roman"/>
          <w:b/>
          <w:sz w:val="26"/>
          <w:szCs w:val="26"/>
        </w:rPr>
      </w:pPr>
      <w:r w:rsidRPr="00DF3C8A">
        <w:rPr>
          <w:rFonts w:ascii="Times New Roman" w:hAnsi="Times New Roman" w:cs="Times New Roman"/>
          <w:b/>
          <w:sz w:val="26"/>
          <w:szCs w:val="26"/>
        </w:rPr>
        <w:t>Tài liệu tham khảo:</w:t>
      </w:r>
    </w:p>
    <w:p w:rsidR="00F5126E" w:rsidRPr="005B0FF9" w:rsidRDefault="005B0FF9" w:rsidP="005B0FF9">
      <w:pPr>
        <w:spacing w:after="0" w:line="360" w:lineRule="auto"/>
        <w:jc w:val="both"/>
        <w:rPr>
          <w:rFonts w:ascii="Times New Roman" w:hAnsi="Times New Roman" w:cs="Times New Roman"/>
          <w:sz w:val="26"/>
          <w:szCs w:val="26"/>
        </w:rPr>
      </w:pPr>
      <w:bookmarkStart w:id="1" w:name="loai_1_name"/>
      <w:r>
        <w:rPr>
          <w:rFonts w:ascii="Times New Roman" w:hAnsi="Times New Roman" w:cs="Times New Roman"/>
          <w:spacing w:val="2"/>
          <w:sz w:val="26"/>
          <w:szCs w:val="26"/>
          <w:shd w:val="clear" w:color="auto" w:fill="FFFFFF"/>
        </w:rPr>
        <w:t xml:space="preserve">1. </w:t>
      </w:r>
      <w:r w:rsidR="00E07323" w:rsidRPr="005B0FF9">
        <w:rPr>
          <w:rFonts w:ascii="Times New Roman" w:hAnsi="Times New Roman" w:cs="Times New Roman"/>
          <w:spacing w:val="2"/>
          <w:sz w:val="26"/>
          <w:szCs w:val="26"/>
          <w:shd w:val="clear" w:color="auto" w:fill="FFFFFF"/>
        </w:rPr>
        <w:t xml:space="preserve">Quyết định </w:t>
      </w:r>
      <w:r w:rsidR="00003AC1" w:rsidRPr="005B0FF9">
        <w:rPr>
          <w:rFonts w:ascii="Times New Roman" w:hAnsi="Times New Roman" w:cs="Times New Roman"/>
          <w:spacing w:val="2"/>
          <w:sz w:val="26"/>
          <w:szCs w:val="26"/>
          <w:shd w:val="clear" w:color="auto" w:fill="FFFFFF"/>
        </w:rPr>
        <w:t xml:space="preserve">số </w:t>
      </w:r>
      <w:r w:rsidR="00E07323" w:rsidRPr="005B0FF9">
        <w:rPr>
          <w:rFonts w:ascii="Times New Roman" w:hAnsi="Times New Roman" w:cs="Times New Roman"/>
          <w:spacing w:val="2"/>
          <w:sz w:val="26"/>
          <w:szCs w:val="26"/>
          <w:shd w:val="clear" w:color="auto" w:fill="FFFFFF"/>
        </w:rPr>
        <w:t>595/QĐ-BHXH </w:t>
      </w:r>
      <w:r w:rsidR="00E07323" w:rsidRPr="005B0FF9">
        <w:rPr>
          <w:rFonts w:ascii="Times New Roman" w:hAnsi="Times New Roman" w:cs="Times New Roman"/>
          <w:sz w:val="26"/>
          <w:szCs w:val="26"/>
          <w:shd w:val="clear" w:color="auto" w:fill="FFFFFF"/>
          <w:lang w:val="vi-VN"/>
        </w:rPr>
        <w:t>ban hành quy trình thu bảo hiểm xã hội, bảo hiểm y tế, bảo hiểm thất nghiệp, bảo hiểm tai nạn lao động - bệnh nghề nghiệp; quản lý sổ bảo hiểm xã hội, thẻ bảo hiểm y tế</w:t>
      </w:r>
      <w:bookmarkEnd w:id="1"/>
      <w:r w:rsidR="00E07323" w:rsidRPr="005B0FF9">
        <w:rPr>
          <w:rFonts w:ascii="Times New Roman" w:hAnsi="Times New Roman" w:cs="Times New Roman"/>
          <w:sz w:val="26"/>
          <w:szCs w:val="26"/>
          <w:shd w:val="clear" w:color="auto" w:fill="FFFFFF"/>
        </w:rPr>
        <w:t xml:space="preserve"> </w:t>
      </w:r>
      <w:r w:rsidR="00E07323" w:rsidRPr="005B0FF9">
        <w:rPr>
          <w:rFonts w:ascii="Times New Roman" w:hAnsi="Times New Roman" w:cs="Times New Roman"/>
          <w:iCs/>
          <w:sz w:val="26"/>
          <w:szCs w:val="26"/>
          <w:shd w:val="clear" w:color="auto" w:fill="FFFFFF"/>
          <w:lang w:val="vi-VN"/>
        </w:rPr>
        <w:t>ngày 14 tháng 4 năm 2017</w:t>
      </w:r>
    </w:p>
    <w:p w:rsidR="00F5126E" w:rsidRPr="005B0FF9" w:rsidRDefault="005B0FF9" w:rsidP="005B0FF9">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bCs/>
          <w:spacing w:val="2"/>
          <w:sz w:val="26"/>
          <w:szCs w:val="26"/>
          <w:shd w:val="clear" w:color="auto" w:fill="FFFFFF"/>
        </w:rPr>
        <w:t xml:space="preserve">2. </w:t>
      </w:r>
      <w:r w:rsidR="00003AC1" w:rsidRPr="005B0FF9">
        <w:rPr>
          <w:rFonts w:ascii="Times New Roman" w:hAnsi="Times New Roman" w:cs="Times New Roman"/>
          <w:bCs/>
          <w:spacing w:val="2"/>
          <w:sz w:val="26"/>
          <w:szCs w:val="26"/>
          <w:shd w:val="clear" w:color="auto" w:fill="FFFFFF"/>
        </w:rPr>
        <w:t>L</w:t>
      </w:r>
      <w:r w:rsidR="00E07323" w:rsidRPr="005B0FF9">
        <w:rPr>
          <w:rFonts w:ascii="Times New Roman" w:hAnsi="Times New Roman" w:cs="Times New Roman"/>
          <w:bCs/>
          <w:spacing w:val="2"/>
          <w:sz w:val="26"/>
          <w:szCs w:val="26"/>
          <w:shd w:val="clear" w:color="auto" w:fill="FFFFFF"/>
        </w:rPr>
        <w:t xml:space="preserve">uật </w:t>
      </w:r>
      <w:r w:rsidR="00003AC1" w:rsidRPr="005B0FF9">
        <w:rPr>
          <w:rFonts w:ascii="Times New Roman" w:hAnsi="Times New Roman" w:cs="Times New Roman"/>
          <w:bCs/>
          <w:spacing w:val="2"/>
          <w:sz w:val="26"/>
          <w:szCs w:val="26"/>
          <w:shd w:val="clear" w:color="auto" w:fill="FFFFFF"/>
        </w:rPr>
        <w:t xml:space="preserve">BHXH </w:t>
      </w:r>
      <w:r w:rsidR="00E07323" w:rsidRPr="005B0FF9">
        <w:rPr>
          <w:rFonts w:ascii="Times New Roman" w:hAnsi="Times New Roman" w:cs="Times New Roman"/>
          <w:bCs/>
          <w:spacing w:val="2"/>
          <w:sz w:val="26"/>
          <w:szCs w:val="26"/>
          <w:shd w:val="clear" w:color="auto" w:fill="FFFFFF"/>
        </w:rPr>
        <w:t xml:space="preserve"> 2024 </w:t>
      </w:r>
      <w:r w:rsidR="00003AC1" w:rsidRPr="005B0FF9">
        <w:rPr>
          <w:rFonts w:ascii="Times New Roman" w:hAnsi="Times New Roman" w:cs="Times New Roman"/>
          <w:bCs/>
          <w:spacing w:val="2"/>
          <w:sz w:val="26"/>
          <w:szCs w:val="26"/>
          <w:shd w:val="clear" w:color="auto" w:fill="FFFFFF"/>
        </w:rPr>
        <w:t>số</w:t>
      </w:r>
      <w:r w:rsidR="00003AC1" w:rsidRPr="005B0FF9">
        <w:rPr>
          <w:rFonts w:ascii="Times New Roman" w:hAnsi="Times New Roman" w:cs="Times New Roman"/>
          <w:b/>
          <w:bCs/>
          <w:spacing w:val="2"/>
          <w:sz w:val="26"/>
          <w:szCs w:val="26"/>
          <w:shd w:val="clear" w:color="auto" w:fill="FFFFFF"/>
        </w:rPr>
        <w:t xml:space="preserve"> </w:t>
      </w:r>
      <w:r w:rsidR="00003AC1" w:rsidRPr="005B0FF9">
        <w:rPr>
          <w:rFonts w:ascii="Times New Roman" w:hAnsi="Times New Roman" w:cs="Times New Roman"/>
          <w:sz w:val="26"/>
          <w:szCs w:val="26"/>
          <w:shd w:val="clear" w:color="auto" w:fill="FFFFFF"/>
        </w:rPr>
        <w:t xml:space="preserve">41/2024/QH </w:t>
      </w:r>
      <w:r w:rsidR="00E07323" w:rsidRPr="005B0FF9">
        <w:rPr>
          <w:rFonts w:ascii="Times New Roman" w:hAnsi="Times New Roman" w:cs="Times New Roman"/>
          <w:sz w:val="26"/>
          <w:szCs w:val="26"/>
          <w:shd w:val="clear" w:color="auto" w:fill="FFFFFF"/>
        </w:rPr>
        <w:t>15</w:t>
      </w:r>
      <w:r w:rsidR="00E07323" w:rsidRPr="005B0FF9">
        <w:rPr>
          <w:rFonts w:ascii="Times New Roman" w:eastAsia="Times New Roman" w:hAnsi="Times New Roman" w:cs="Times New Roman"/>
          <w:b/>
          <w:bCs/>
          <w:kern w:val="0"/>
          <w:sz w:val="26"/>
          <w:szCs w:val="26"/>
          <w14:ligatures w14:val="none"/>
        </w:rPr>
        <w:t xml:space="preserve"> </w:t>
      </w:r>
      <w:r w:rsidR="00E07323" w:rsidRPr="005B0FF9">
        <w:rPr>
          <w:rFonts w:ascii="Times New Roman" w:hAnsi="Times New Roman" w:cs="Times New Roman"/>
          <w:iCs/>
          <w:sz w:val="26"/>
          <w:szCs w:val="26"/>
          <w:shd w:val="clear" w:color="auto" w:fill="FFFFFF"/>
        </w:rPr>
        <w:t>ngày </w:t>
      </w:r>
      <w:r w:rsidR="00E07323" w:rsidRPr="005B0FF9">
        <w:rPr>
          <w:rFonts w:ascii="Times New Roman" w:hAnsi="Times New Roman" w:cs="Times New Roman"/>
          <w:iCs/>
          <w:sz w:val="26"/>
          <w:szCs w:val="26"/>
          <w:shd w:val="clear" w:color="auto" w:fill="FFFFFF"/>
          <w:lang w:val="af-ZA"/>
        </w:rPr>
        <w:t>29</w:t>
      </w:r>
      <w:r w:rsidR="00E07323" w:rsidRPr="005B0FF9">
        <w:rPr>
          <w:rFonts w:ascii="Times New Roman" w:hAnsi="Times New Roman" w:cs="Times New Roman"/>
          <w:iCs/>
          <w:sz w:val="26"/>
          <w:szCs w:val="26"/>
          <w:shd w:val="clear" w:color="auto" w:fill="FFFFFF"/>
        </w:rPr>
        <w:t> tháng</w:t>
      </w:r>
      <w:r w:rsidR="00E07323" w:rsidRPr="005B0FF9">
        <w:rPr>
          <w:rFonts w:ascii="Times New Roman" w:hAnsi="Times New Roman" w:cs="Times New Roman"/>
          <w:iCs/>
          <w:sz w:val="26"/>
          <w:szCs w:val="26"/>
          <w:shd w:val="clear" w:color="auto" w:fill="FFFFFF"/>
          <w:lang w:val="af-ZA"/>
        </w:rPr>
        <w:t> 6</w:t>
      </w:r>
      <w:r w:rsidR="00E07323" w:rsidRPr="005B0FF9">
        <w:rPr>
          <w:rFonts w:ascii="Times New Roman" w:hAnsi="Times New Roman" w:cs="Times New Roman"/>
          <w:iCs/>
          <w:sz w:val="26"/>
          <w:szCs w:val="26"/>
          <w:shd w:val="clear" w:color="auto" w:fill="FFFFFF"/>
        </w:rPr>
        <w:t> năm 2024</w:t>
      </w:r>
    </w:p>
    <w:sectPr w:rsidR="00F5126E" w:rsidRPr="005B0F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2544"/>
    <w:multiLevelType w:val="multilevel"/>
    <w:tmpl w:val="9286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9035A"/>
    <w:multiLevelType w:val="multilevel"/>
    <w:tmpl w:val="7988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010571"/>
    <w:multiLevelType w:val="hybridMultilevel"/>
    <w:tmpl w:val="279CCE3E"/>
    <w:lvl w:ilvl="0" w:tplc="E7F2B206">
      <w:start w:val="1"/>
      <w:numFmt w:val="decimal"/>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6C7298"/>
    <w:multiLevelType w:val="multilevel"/>
    <w:tmpl w:val="014C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71F"/>
    <w:rsid w:val="00003AC1"/>
    <w:rsid w:val="00037D2B"/>
    <w:rsid w:val="00057881"/>
    <w:rsid w:val="000730EA"/>
    <w:rsid w:val="00153663"/>
    <w:rsid w:val="002548E5"/>
    <w:rsid w:val="0033511E"/>
    <w:rsid w:val="0050689B"/>
    <w:rsid w:val="005A3A13"/>
    <w:rsid w:val="005B0FF9"/>
    <w:rsid w:val="005B59E9"/>
    <w:rsid w:val="006C5206"/>
    <w:rsid w:val="008F571F"/>
    <w:rsid w:val="009729F6"/>
    <w:rsid w:val="009807D8"/>
    <w:rsid w:val="00A306E3"/>
    <w:rsid w:val="00A46822"/>
    <w:rsid w:val="00A55A50"/>
    <w:rsid w:val="00C84A89"/>
    <w:rsid w:val="00D403DC"/>
    <w:rsid w:val="00D45114"/>
    <w:rsid w:val="00D75D45"/>
    <w:rsid w:val="00DF3C8A"/>
    <w:rsid w:val="00E07323"/>
    <w:rsid w:val="00F5126E"/>
    <w:rsid w:val="00F70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566C"/>
  <w15:chartTrackingRefBased/>
  <w15:docId w15:val="{A835766F-537A-4257-966E-ED010B21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571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8F5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F57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71F"/>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8F571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F571F"/>
    <w:rPr>
      <w:b/>
      <w:bCs/>
    </w:rPr>
  </w:style>
  <w:style w:type="character" w:customStyle="1" w:styleId="Heading2Char">
    <w:name w:val="Heading 2 Char"/>
    <w:basedOn w:val="DefaultParagraphFont"/>
    <w:link w:val="Heading2"/>
    <w:uiPriority w:val="9"/>
    <w:rsid w:val="008F571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F571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5126E"/>
    <w:pPr>
      <w:ind w:left="720"/>
      <w:contextualSpacing/>
    </w:pPr>
  </w:style>
  <w:style w:type="character" w:styleId="Hyperlink">
    <w:name w:val="Hyperlink"/>
    <w:basedOn w:val="DefaultParagraphFont"/>
    <w:uiPriority w:val="99"/>
    <w:semiHidden/>
    <w:unhideWhenUsed/>
    <w:rsid w:val="00F512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465083">
      <w:bodyDiv w:val="1"/>
      <w:marLeft w:val="0"/>
      <w:marRight w:val="0"/>
      <w:marTop w:val="0"/>
      <w:marBottom w:val="0"/>
      <w:divBdr>
        <w:top w:val="none" w:sz="0" w:space="0" w:color="auto"/>
        <w:left w:val="none" w:sz="0" w:space="0" w:color="auto"/>
        <w:bottom w:val="none" w:sz="0" w:space="0" w:color="auto"/>
        <w:right w:val="none" w:sz="0" w:space="0" w:color="auto"/>
      </w:divBdr>
    </w:div>
    <w:div w:id="757557788">
      <w:bodyDiv w:val="1"/>
      <w:marLeft w:val="0"/>
      <w:marRight w:val="0"/>
      <w:marTop w:val="0"/>
      <w:marBottom w:val="0"/>
      <w:divBdr>
        <w:top w:val="none" w:sz="0" w:space="0" w:color="auto"/>
        <w:left w:val="none" w:sz="0" w:space="0" w:color="auto"/>
        <w:bottom w:val="none" w:sz="0" w:space="0" w:color="auto"/>
        <w:right w:val="none" w:sz="0" w:space="0" w:color="auto"/>
      </w:divBdr>
    </w:div>
    <w:div w:id="864175441">
      <w:bodyDiv w:val="1"/>
      <w:marLeft w:val="0"/>
      <w:marRight w:val="0"/>
      <w:marTop w:val="0"/>
      <w:marBottom w:val="0"/>
      <w:divBdr>
        <w:top w:val="none" w:sz="0" w:space="0" w:color="auto"/>
        <w:left w:val="none" w:sz="0" w:space="0" w:color="auto"/>
        <w:bottom w:val="none" w:sz="0" w:space="0" w:color="auto"/>
        <w:right w:val="none" w:sz="0" w:space="0" w:color="auto"/>
      </w:divBdr>
    </w:div>
    <w:div w:id="878518433">
      <w:bodyDiv w:val="1"/>
      <w:marLeft w:val="0"/>
      <w:marRight w:val="0"/>
      <w:marTop w:val="0"/>
      <w:marBottom w:val="0"/>
      <w:divBdr>
        <w:top w:val="none" w:sz="0" w:space="0" w:color="auto"/>
        <w:left w:val="none" w:sz="0" w:space="0" w:color="auto"/>
        <w:bottom w:val="none" w:sz="0" w:space="0" w:color="auto"/>
        <w:right w:val="none" w:sz="0" w:space="0" w:color="auto"/>
      </w:divBdr>
    </w:div>
    <w:div w:id="1394425373">
      <w:bodyDiv w:val="1"/>
      <w:marLeft w:val="0"/>
      <w:marRight w:val="0"/>
      <w:marTop w:val="0"/>
      <w:marBottom w:val="0"/>
      <w:divBdr>
        <w:top w:val="none" w:sz="0" w:space="0" w:color="auto"/>
        <w:left w:val="none" w:sz="0" w:space="0" w:color="auto"/>
        <w:bottom w:val="none" w:sz="0" w:space="0" w:color="auto"/>
        <w:right w:val="none" w:sz="0" w:space="0" w:color="auto"/>
      </w:divBdr>
    </w:div>
    <w:div w:id="2078162946">
      <w:bodyDiv w:val="1"/>
      <w:marLeft w:val="0"/>
      <w:marRight w:val="0"/>
      <w:marTop w:val="0"/>
      <w:marBottom w:val="0"/>
      <w:divBdr>
        <w:top w:val="none" w:sz="0" w:space="0" w:color="auto"/>
        <w:left w:val="none" w:sz="0" w:space="0" w:color="auto"/>
        <w:bottom w:val="none" w:sz="0" w:space="0" w:color="auto"/>
        <w:right w:val="none" w:sz="0" w:space="0" w:color="auto"/>
      </w:divBdr>
      <w:divsChild>
        <w:div w:id="885871815">
          <w:marLeft w:val="0"/>
          <w:marRight w:val="0"/>
          <w:marTop w:val="0"/>
          <w:marBottom w:val="0"/>
          <w:divBdr>
            <w:top w:val="none" w:sz="0" w:space="0" w:color="auto"/>
            <w:left w:val="none" w:sz="0" w:space="0" w:color="auto"/>
            <w:bottom w:val="none" w:sz="0" w:space="0" w:color="auto"/>
            <w:right w:val="none" w:sz="0" w:space="0" w:color="auto"/>
          </w:divBdr>
          <w:divsChild>
            <w:div w:id="969945476">
              <w:marLeft w:val="0"/>
              <w:marRight w:val="0"/>
              <w:marTop w:val="0"/>
              <w:marBottom w:val="0"/>
              <w:divBdr>
                <w:top w:val="none" w:sz="0" w:space="0" w:color="auto"/>
                <w:left w:val="none" w:sz="0" w:space="0" w:color="auto"/>
                <w:bottom w:val="none" w:sz="0" w:space="0" w:color="auto"/>
                <w:right w:val="none" w:sz="0" w:space="0" w:color="auto"/>
              </w:divBdr>
              <w:divsChild>
                <w:div w:id="32729434">
                  <w:marLeft w:val="0"/>
                  <w:marRight w:val="0"/>
                  <w:marTop w:val="0"/>
                  <w:marBottom w:val="0"/>
                  <w:divBdr>
                    <w:top w:val="none" w:sz="0" w:space="0" w:color="auto"/>
                    <w:left w:val="none" w:sz="0" w:space="0" w:color="auto"/>
                    <w:bottom w:val="none" w:sz="0" w:space="0" w:color="auto"/>
                    <w:right w:val="none" w:sz="0" w:space="0" w:color="auto"/>
                  </w:divBdr>
                  <w:divsChild>
                    <w:div w:id="227309810">
                      <w:marLeft w:val="0"/>
                      <w:marRight w:val="0"/>
                      <w:marTop w:val="0"/>
                      <w:marBottom w:val="0"/>
                      <w:divBdr>
                        <w:top w:val="none" w:sz="0" w:space="0" w:color="auto"/>
                        <w:left w:val="none" w:sz="0" w:space="0" w:color="auto"/>
                        <w:bottom w:val="none" w:sz="0" w:space="0" w:color="auto"/>
                        <w:right w:val="none" w:sz="0" w:space="0" w:color="auto"/>
                      </w:divBdr>
                      <w:divsChild>
                        <w:div w:id="1066300001">
                          <w:marLeft w:val="0"/>
                          <w:marRight w:val="0"/>
                          <w:marTop w:val="0"/>
                          <w:marBottom w:val="0"/>
                          <w:divBdr>
                            <w:top w:val="none" w:sz="0" w:space="0" w:color="auto"/>
                            <w:left w:val="none" w:sz="0" w:space="0" w:color="auto"/>
                            <w:bottom w:val="none" w:sz="0" w:space="0" w:color="auto"/>
                            <w:right w:val="none" w:sz="0" w:space="0" w:color="auto"/>
                          </w:divBdr>
                          <w:divsChild>
                            <w:div w:id="160387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1696</Words>
  <Characters>5987</Characters>
  <Application>Microsoft Office Word</Application>
  <DocSecurity>0</DocSecurity>
  <Lines>110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2024-11-21T13:18:00Z</dcterms:created>
  <dcterms:modified xsi:type="dcterms:W3CDTF">2024-11-21T13:36:00Z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c921e901-3087-49c9-b645-c5d9b6b997ed</vt:lpwstr>
  </property>
</Properties>
</file>