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29E" w:rsidRDefault="0053429E" w:rsidP="0053429E">
      <w:pPr>
        <w:shd w:val="clear" w:color="auto" w:fill="FFFFFF"/>
        <w:spacing w:after="0" w:line="360" w:lineRule="auto"/>
        <w:jc w:val="center"/>
        <w:outlineLvl w:val="1"/>
        <w:rPr>
          <w:rFonts w:ascii="Times New Roman" w:eastAsia="Times New Roman" w:hAnsi="Times New Roman" w:cs="Times New Roman"/>
          <w:b/>
          <w:bCs/>
          <w:sz w:val="26"/>
          <w:szCs w:val="26"/>
        </w:rPr>
      </w:pPr>
      <w:r w:rsidRPr="0053429E">
        <w:rPr>
          <w:rFonts w:ascii="Times New Roman" w:eastAsia="Times New Roman" w:hAnsi="Times New Roman" w:cs="Times New Roman"/>
          <w:b/>
          <w:bCs/>
          <w:sz w:val="26"/>
          <w:szCs w:val="26"/>
        </w:rPr>
        <w:t>KHAI BỔ SUNG HỒ SƠ KHAI THUẾ</w:t>
      </w:r>
    </w:p>
    <w:p w:rsidR="00156471" w:rsidRPr="0053429E" w:rsidRDefault="00156471" w:rsidP="00156471">
      <w:pPr>
        <w:shd w:val="clear" w:color="auto" w:fill="FFFFFF"/>
        <w:spacing w:after="0" w:line="360" w:lineRule="auto"/>
        <w:ind w:left="4320" w:firstLine="720"/>
        <w:jc w:val="center"/>
        <w:outlineLvl w:val="1"/>
        <w:rPr>
          <w:rFonts w:ascii="Times New Roman" w:eastAsia="Times New Roman" w:hAnsi="Times New Roman" w:cs="Times New Roman"/>
          <w:b/>
          <w:bCs/>
          <w:sz w:val="26"/>
          <w:szCs w:val="26"/>
        </w:rPr>
      </w:pPr>
      <w:bookmarkStart w:id="0" w:name="_GoBack"/>
      <w:bookmarkEnd w:id="0"/>
      <w:r>
        <w:rPr>
          <w:rFonts w:ascii="Times New Roman" w:eastAsia="Times New Roman" w:hAnsi="Times New Roman" w:cs="Times New Roman"/>
          <w:b/>
          <w:bCs/>
          <w:sz w:val="26"/>
          <w:szCs w:val="26"/>
        </w:rPr>
        <w:t>Nguyễn Thị Quỳnh Giao</w:t>
      </w:r>
    </w:p>
    <w:p w:rsidR="0053429E" w:rsidRPr="0053429E" w:rsidRDefault="0053429E" w:rsidP="0053429E">
      <w:pPr>
        <w:shd w:val="clear" w:color="auto" w:fill="FFFFFF"/>
        <w:spacing w:after="0" w:line="360" w:lineRule="auto"/>
        <w:ind w:firstLine="720"/>
        <w:jc w:val="both"/>
        <w:outlineLvl w:val="1"/>
        <w:rPr>
          <w:rFonts w:ascii="Times New Roman" w:eastAsia="Times New Roman" w:hAnsi="Times New Roman" w:cs="Times New Roman"/>
          <w:bCs/>
          <w:sz w:val="26"/>
          <w:szCs w:val="26"/>
        </w:rPr>
      </w:pPr>
      <w:r w:rsidRPr="0053429E">
        <w:rPr>
          <w:rFonts w:ascii="Times New Roman" w:eastAsia="Times New Roman" w:hAnsi="Times New Roman" w:cs="Times New Roman"/>
          <w:bCs/>
          <w:sz w:val="26"/>
          <w:szCs w:val="26"/>
        </w:rPr>
        <w:t xml:space="preserve">Việc lập tờ khai thuế đầy đủ và chính xác vào thời điểm cuối kỳ kế toán có vai trò quan trọng trong việc xác định số thuế phải nộp cho nhà nước và tránh các rủi </w:t>
      </w:r>
      <w:proofErr w:type="gramStart"/>
      <w:r w:rsidRPr="0053429E">
        <w:rPr>
          <w:rFonts w:ascii="Times New Roman" w:eastAsia="Times New Roman" w:hAnsi="Times New Roman" w:cs="Times New Roman"/>
          <w:bCs/>
          <w:sz w:val="26"/>
          <w:szCs w:val="26"/>
        </w:rPr>
        <w:t>ro ,</w:t>
      </w:r>
      <w:proofErr w:type="gramEnd"/>
      <w:r w:rsidRPr="0053429E">
        <w:rPr>
          <w:rFonts w:ascii="Times New Roman" w:eastAsia="Times New Roman" w:hAnsi="Times New Roman" w:cs="Times New Roman"/>
          <w:bCs/>
          <w:sz w:val="26"/>
          <w:szCs w:val="26"/>
        </w:rPr>
        <w:t xml:space="preserve"> sai sót dẫn đến bị phạt nộp chậm thuế. Tuy nhiên, đặc thù công việc vào cuối kỳ của kế toán rất nhiều. Do đó, việc sai sót trong kê khai rất dễ xảy ra. Trong quy định về luật quản lý thuế có hướng dẫn về khai bổ sung hồ sơ khai thuế như sau:</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Căn cứ vào </w:t>
      </w:r>
      <w:hyperlink r:id="rId4" w:tgtFrame="_blank" w:history="1">
        <w:r w:rsidRPr="0053429E">
          <w:rPr>
            <w:rFonts w:ascii="Times New Roman" w:eastAsia="Times New Roman" w:hAnsi="Times New Roman" w:cs="Times New Roman"/>
            <w:sz w:val="26"/>
            <w:szCs w:val="26"/>
          </w:rPr>
          <w:t>khoản 1 Điều 47 Luật Quản lý thuế 2019</w:t>
        </w:r>
      </w:hyperlink>
      <w:r w:rsidRPr="0053429E">
        <w:rPr>
          <w:rFonts w:ascii="Times New Roman" w:eastAsia="Times New Roman" w:hAnsi="Times New Roman" w:cs="Times New Roman"/>
          <w:sz w:val="26"/>
          <w:szCs w:val="26"/>
        </w:rPr>
        <w:t>, </w:t>
      </w:r>
      <w:hyperlink r:id="rId5" w:tgtFrame="_blank" w:history="1">
        <w:r w:rsidRPr="0053429E">
          <w:rPr>
            <w:rFonts w:ascii="Times New Roman" w:eastAsia="Times New Roman" w:hAnsi="Times New Roman" w:cs="Times New Roman"/>
            <w:sz w:val="26"/>
            <w:szCs w:val="26"/>
          </w:rPr>
          <w:t>khoản 2 Điều 47 Luật Quản lý thuế 2019</w:t>
        </w:r>
      </w:hyperlink>
      <w:r w:rsidRPr="0053429E">
        <w:rPr>
          <w:rFonts w:ascii="Times New Roman" w:eastAsia="Times New Roman" w:hAnsi="Times New Roman" w:cs="Times New Roman"/>
          <w:sz w:val="26"/>
          <w:szCs w:val="26"/>
        </w:rPr>
        <w:t> và </w:t>
      </w:r>
      <w:hyperlink r:id="rId6" w:tgtFrame="_blank" w:history="1">
        <w:r w:rsidRPr="0053429E">
          <w:rPr>
            <w:rFonts w:ascii="Times New Roman" w:eastAsia="Times New Roman" w:hAnsi="Times New Roman" w:cs="Times New Roman"/>
            <w:sz w:val="26"/>
            <w:szCs w:val="26"/>
          </w:rPr>
          <w:t>khoản 3 Điều 47 Luật Quản lý thuế 2019</w:t>
        </w:r>
      </w:hyperlink>
      <w:r w:rsidRPr="0053429E">
        <w:rPr>
          <w:rFonts w:ascii="Times New Roman" w:eastAsia="Times New Roman" w:hAnsi="Times New Roman" w:cs="Times New Roman"/>
          <w:sz w:val="26"/>
          <w:szCs w:val="26"/>
        </w:rPr>
        <w:t>, việc khai bổ sung hồ sơ khai thuế của người nộp được quy định như sau:</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b/>
          <w:bCs/>
          <w:i/>
          <w:iCs/>
          <w:sz w:val="26"/>
          <w:szCs w:val="26"/>
        </w:rPr>
        <w:t>Khai bổ sung hồ sơ khai thuế</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Cs/>
          <w:sz w:val="26"/>
          <w:szCs w:val="26"/>
        </w:rPr>
        <w:t>1. </w:t>
      </w:r>
      <w:r w:rsidRPr="0053429E">
        <w:rPr>
          <w:rFonts w:ascii="Times New Roman" w:eastAsia="Times New Roman" w:hAnsi="Times New Roman" w:cs="Times New Roman"/>
          <w:bCs/>
          <w:iCs/>
          <w:sz w:val="26"/>
          <w:szCs w:val="26"/>
        </w:rPr>
        <w:t>Người nộp thuế phát hiện hồ sơ khai thuế đã nộp cho cơ quan thuế có sai, sót thì được khai bổ sung hồ sơ khai thuế</w:t>
      </w:r>
      <w:r w:rsidRPr="0053429E">
        <w:rPr>
          <w:rFonts w:ascii="Times New Roman" w:eastAsia="Times New Roman" w:hAnsi="Times New Roman" w:cs="Times New Roman"/>
          <w:iCs/>
          <w:sz w:val="26"/>
          <w:szCs w:val="26"/>
        </w:rPr>
        <w:t> trong thời hạn 10 năm kể từ ngày hết thời hạn nộp hồ sơ khai thuế của kỳ tính thuế có sai, sót nhưng trước khi cơ quan thuế, cơ quan có thẩm quyền công bố quyết định thanh tra, kiểm tra.</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Cs/>
          <w:sz w:val="26"/>
          <w:szCs w:val="26"/>
        </w:rP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Cs/>
          <w:sz w:val="26"/>
          <w:szCs w:val="26"/>
        </w:rP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Cs/>
          <w:sz w:val="26"/>
          <w:szCs w:val="26"/>
        </w:rP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sidR="0053429E" w:rsidRPr="0053429E" w:rsidRDefault="0053429E" w:rsidP="0053429E">
      <w:pPr>
        <w:shd w:val="clear" w:color="auto" w:fill="FFFFFF"/>
        <w:spacing w:after="0" w:line="360" w:lineRule="auto"/>
        <w:jc w:val="both"/>
        <w:rPr>
          <w:rFonts w:ascii="Times New Roman" w:eastAsia="Times New Roman" w:hAnsi="Times New Roman" w:cs="Times New Roman"/>
          <w:iCs/>
          <w:sz w:val="26"/>
          <w:szCs w:val="26"/>
        </w:rPr>
      </w:pPr>
      <w:r w:rsidRPr="0053429E">
        <w:rPr>
          <w:rFonts w:ascii="Times New Roman" w:eastAsia="Times New Roman" w:hAnsi="Times New Roman" w:cs="Times New Roman"/>
          <w:iCs/>
          <w:sz w:val="26"/>
          <w:szCs w:val="26"/>
        </w:rPr>
        <w:t xml:space="preserve">b) Trường hợp người nộp thuế phát hiện hồ sơ khai thuế có sai, sót nếu khai bổ sung làm giảm số tiền thuế phải nộp hoặc làm tăng số tiền thuế được khấu trừ, tăng số tiền </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Cs/>
          <w:sz w:val="26"/>
          <w:szCs w:val="26"/>
        </w:rPr>
        <w:t>thuế được miễn, giảm, hoàn thì thực hiện theo quy định về giải quyết khiếu nại về thuế.</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lastRenderedPageBreak/>
        <w:t>Như vậy, khi người nộp thuế phát hiện hồ sơ khai thuế có những điểm sai, sót thì thực hiện khai bổ sung hồ sơ khai thuế theo quy định nêu trên.</w:t>
      </w:r>
    </w:p>
    <w:p w:rsidR="0053429E" w:rsidRPr="0053429E" w:rsidRDefault="0053429E" w:rsidP="0053429E">
      <w:pPr>
        <w:shd w:val="clear" w:color="auto" w:fill="FFFFFF"/>
        <w:spacing w:after="0" w:line="360" w:lineRule="auto"/>
        <w:jc w:val="both"/>
        <w:outlineLvl w:val="1"/>
        <w:rPr>
          <w:rFonts w:ascii="Times New Roman" w:eastAsia="Times New Roman" w:hAnsi="Times New Roman" w:cs="Times New Roman"/>
          <w:sz w:val="26"/>
          <w:szCs w:val="26"/>
        </w:rPr>
      </w:pPr>
      <w:r w:rsidRPr="0053429E">
        <w:rPr>
          <w:rFonts w:ascii="Times New Roman" w:eastAsia="Times New Roman" w:hAnsi="Times New Roman" w:cs="Times New Roman"/>
          <w:b/>
          <w:bCs/>
          <w:sz w:val="26"/>
          <w:szCs w:val="26"/>
        </w:rPr>
        <w:t>Hồ sơ bổ sung hồ sơ khai thuế gồm những gì?</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Căn cứ theo nội dung tại </w:t>
      </w:r>
      <w:hyperlink r:id="rId7" w:tgtFrame="_blank" w:history="1">
        <w:r w:rsidRPr="0053429E">
          <w:rPr>
            <w:rFonts w:ascii="Times New Roman" w:eastAsia="Times New Roman" w:hAnsi="Times New Roman" w:cs="Times New Roman"/>
            <w:sz w:val="26"/>
            <w:szCs w:val="26"/>
          </w:rPr>
          <w:t>khoản 4 Điều 47 Luật Quản lý thuế 2019</w:t>
        </w:r>
      </w:hyperlink>
      <w:r w:rsidRPr="0053429E">
        <w:rPr>
          <w:rFonts w:ascii="Times New Roman" w:eastAsia="Times New Roman" w:hAnsi="Times New Roman" w:cs="Times New Roman"/>
          <w:sz w:val="26"/>
          <w:szCs w:val="26"/>
        </w:rPr>
        <w:t>, hồ sơ khai bổ sung hồ sơ khai thuế bao gồm:</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Tờ khai bổ sung;</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Bản giải trình khai bổ sung;</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Các tài liệu có liên quan.</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Việc khai bổ sung hồ sơ khai thuế được hướng dẫn theo nội dung quy định tại </w:t>
      </w:r>
      <w:hyperlink r:id="rId8" w:tgtFrame="_blank" w:history="1">
        <w:r w:rsidRPr="0053429E">
          <w:rPr>
            <w:rFonts w:ascii="Times New Roman" w:eastAsia="Times New Roman" w:hAnsi="Times New Roman" w:cs="Times New Roman"/>
            <w:sz w:val="26"/>
            <w:szCs w:val="26"/>
          </w:rPr>
          <w:t>khoản 4 Điều 7 Nghị định 126/2020/NĐ-CP</w:t>
        </w:r>
      </w:hyperlink>
      <w:r w:rsidRPr="0053429E">
        <w:rPr>
          <w:rFonts w:ascii="Times New Roman" w:eastAsia="Times New Roman" w:hAnsi="Times New Roman" w:cs="Times New Roman"/>
          <w:sz w:val="26"/>
          <w:szCs w:val="26"/>
        </w:rPr>
        <w:t> hướng dẫn Luật Quản lý thuế.</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xml:space="preserve">Cụ thể về hồ sơ khai thuế như sau: </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
          <w:iCs/>
          <w:sz w:val="26"/>
          <w:szCs w:val="26"/>
        </w:rPr>
        <w:t xml:space="preserve">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
          <w:iCs/>
          <w:sz w:val="26"/>
          <w:szCs w:val="26"/>
        </w:rPr>
        <w:t>a) </w:t>
      </w:r>
      <w:r w:rsidRPr="0053429E">
        <w:rPr>
          <w:rFonts w:ascii="Times New Roman" w:eastAsia="Times New Roman" w:hAnsi="Times New Roman" w:cs="Times New Roman"/>
          <w:b/>
          <w:bCs/>
          <w:i/>
          <w:iCs/>
          <w:sz w:val="26"/>
          <w:szCs w:val="26"/>
        </w:rPr>
        <w:t>Trường hợp khai bổ sung không làm thay đổi nghĩa vụ thuế</w:t>
      </w:r>
      <w:r w:rsidRPr="0053429E">
        <w:rPr>
          <w:rFonts w:ascii="Times New Roman" w:eastAsia="Times New Roman" w:hAnsi="Times New Roman" w:cs="Times New Roman"/>
          <w:i/>
          <w:iCs/>
          <w:sz w:val="26"/>
          <w:szCs w:val="26"/>
        </w:rPr>
        <w:t> thì chỉ phải nộp Bản giải trình khai bổ sung và các tài liệu có liên quan, không phải nộp Tờ khai bổ sung.</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
          <w:iCs/>
          <w:sz w:val="26"/>
          <w:szCs w:val="26"/>
        </w:rPr>
        <w:t>Trường hợp chưa nộp hồ sơ khai quyết toán thuế năm thì người nộp thuế khai bổ sung hồ sơ khai thuế của tháng, quý có sai, sót, đồng thời tổng hợp số liệu khai bổ sung vào hồ sơ khai quyết toán thuế năm.</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
          <w:iCs/>
          <w:sz w:val="26"/>
          <w:szCs w:val="26"/>
        </w:rP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
          <w:iCs/>
          <w:sz w:val="26"/>
          <w:szCs w:val="26"/>
        </w:rPr>
        <w:t>b)</w:t>
      </w:r>
      <w:r w:rsidRPr="0053429E">
        <w:rPr>
          <w:rFonts w:ascii="Times New Roman" w:eastAsia="Times New Roman" w:hAnsi="Times New Roman" w:cs="Times New Roman"/>
          <w:b/>
          <w:bCs/>
          <w:i/>
          <w:iCs/>
          <w:sz w:val="26"/>
          <w:szCs w:val="26"/>
        </w:rPr>
        <w:t> Người nộp thuế khai bổ sung dẫn đến tăng số thuế phải nộp hoặc giảm số thuế đã được ngân sách nhà nước hoàn trả</w:t>
      </w:r>
      <w:r w:rsidRPr="0053429E">
        <w:rPr>
          <w:rFonts w:ascii="Times New Roman" w:eastAsia="Times New Roman" w:hAnsi="Times New Roman" w:cs="Times New Roman"/>
          <w:i/>
          <w:iCs/>
          <w:sz w:val="26"/>
          <w:szCs w:val="26"/>
        </w:rPr>
        <w:t> thì phải nộp đủ số tiền thuế phải nộp tăng thêm hoặc số tiền thuế đã được hoàn thừa và tiền chậm nộp vào ngân sách nhà nước (nếu có).</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i/>
          <w:iCs/>
          <w:sz w:val="26"/>
          <w:szCs w:val="26"/>
        </w:rPr>
        <w:t xml:space="preserve">Trường hợp khai bổ sung chỉ làm tăng hoặc giảm số thuế giá trị gia tăng còn được khấu trừ chuyển kỳ sau thì phải kê khai vào kỳ tính thuế hiện tại. Người nộp thuế chỉ được khai </w:t>
      </w:r>
      <w:r w:rsidRPr="0053429E">
        <w:rPr>
          <w:rFonts w:ascii="Times New Roman" w:eastAsia="Times New Roman" w:hAnsi="Times New Roman" w:cs="Times New Roman"/>
          <w:i/>
          <w:iCs/>
          <w:sz w:val="26"/>
          <w:szCs w:val="26"/>
        </w:rPr>
        <w:lastRenderedPageBreak/>
        <w:t>bổ sung tăng số thuế giá trị gia tăng đề nghị hoàn khi chưa nộp hồ sơ khai thuế của kỳ tính thuế tiếp theo và chưa nộp hồ sơ đề nghị hoàn thuế.</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Như vậy, tùy từng trường hợp mà người nộp thuế sẽ thực hiện khai bổ sung hồ sơ khai thuế theo như nội dung trên.</w:t>
      </w:r>
    </w:p>
    <w:p w:rsidR="0053429E" w:rsidRPr="0053429E" w:rsidRDefault="0053429E" w:rsidP="0053429E">
      <w:pPr>
        <w:shd w:val="clear" w:color="auto" w:fill="FFFFFF"/>
        <w:spacing w:after="0" w:line="360" w:lineRule="auto"/>
        <w:jc w:val="both"/>
        <w:outlineLvl w:val="1"/>
        <w:rPr>
          <w:rFonts w:ascii="Times New Roman" w:eastAsia="Times New Roman" w:hAnsi="Times New Roman" w:cs="Times New Roman"/>
          <w:sz w:val="26"/>
          <w:szCs w:val="26"/>
        </w:rPr>
      </w:pPr>
      <w:r w:rsidRPr="0053429E">
        <w:rPr>
          <w:rFonts w:ascii="Times New Roman" w:eastAsia="Times New Roman" w:hAnsi="Times New Roman" w:cs="Times New Roman"/>
          <w:b/>
          <w:bCs/>
          <w:sz w:val="26"/>
          <w:szCs w:val="26"/>
        </w:rPr>
        <w:t>Phát hiện hóa đơn điện tử có sai sót thì thực hiện khai bổ sung hồ sơ khai thuế như thế nào?</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Trong trường hợp phát hiện sai sót trong hóa đơn điện tử thì quy trình xử lý, kê khai bổ sung hồ sơ khai thuế như sau:</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Người bán và người mua phải lập văn bản thỏa thuận ghi rõ sai sót;</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Người bán thực hiện thông báo với cơ quan thuế theo Mẫu 04/SS-HĐĐT ban hành kèm theo </w:t>
      </w:r>
      <w:hyperlink r:id="rId9" w:tgtFrame="_blank" w:history="1">
        <w:r w:rsidRPr="0053429E">
          <w:rPr>
            <w:rFonts w:ascii="Times New Roman" w:eastAsia="Times New Roman" w:hAnsi="Times New Roman" w:cs="Times New Roman"/>
            <w:sz w:val="26"/>
            <w:szCs w:val="26"/>
          </w:rPr>
          <w:t>Nghị định 123/2020/NĐ-CP</w:t>
        </w:r>
      </w:hyperlink>
      <w:r w:rsidRPr="0053429E">
        <w:rPr>
          <w:rFonts w:ascii="Times New Roman" w:eastAsia="Times New Roman" w:hAnsi="Times New Roman" w:cs="Times New Roman"/>
          <w:sz w:val="26"/>
          <w:szCs w:val="26"/>
        </w:rPr>
        <w:t>;</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Người bán lập hóa đơn hóa đơn điện tử mới thay thế cho hóa đơn đã lập có sai sót;</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Người bán thực hiện kê khai bổ sung cho từng hồ sơ khai thuế có sai, sót theo quy định tại </w:t>
      </w:r>
      <w:hyperlink r:id="rId10" w:tgtFrame="_blank" w:history="1">
        <w:r w:rsidRPr="0053429E">
          <w:rPr>
            <w:rFonts w:ascii="Times New Roman" w:eastAsia="Times New Roman" w:hAnsi="Times New Roman" w:cs="Times New Roman"/>
            <w:sz w:val="26"/>
            <w:szCs w:val="26"/>
          </w:rPr>
          <w:t>Điều 47 Luật Quản lý thuế 2019</w:t>
        </w:r>
      </w:hyperlink>
      <w:r w:rsidRPr="0053429E">
        <w:rPr>
          <w:rFonts w:ascii="Times New Roman" w:eastAsia="Times New Roman" w:hAnsi="Times New Roman" w:cs="Times New Roman"/>
          <w:sz w:val="26"/>
          <w:szCs w:val="26"/>
        </w:rPr>
        <w:t> và </w:t>
      </w:r>
      <w:hyperlink r:id="rId11" w:tgtFrame="_blank" w:history="1">
        <w:r w:rsidRPr="0053429E">
          <w:rPr>
            <w:rFonts w:ascii="Times New Roman" w:eastAsia="Times New Roman" w:hAnsi="Times New Roman" w:cs="Times New Roman"/>
            <w:sz w:val="26"/>
            <w:szCs w:val="26"/>
          </w:rPr>
          <w:t>khoản 4 Điều 7 Nghị định 126/2020/NĐ-CP</w:t>
        </w:r>
      </w:hyperlink>
      <w:r w:rsidRPr="0053429E">
        <w:rPr>
          <w:rFonts w:ascii="Times New Roman" w:eastAsia="Times New Roman" w:hAnsi="Times New Roman" w:cs="Times New Roman"/>
          <w:sz w:val="26"/>
          <w:szCs w:val="26"/>
        </w:rPr>
        <w:t>.</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Như vậy, khi phát hiện sai sót trong hóa đơn điện tử, người nộp thuế sẽ thực hiện khai bổ sung hồ sơ khai thuế theo trình tự nêu trên.</w:t>
      </w:r>
    </w:p>
    <w:p w:rsidR="0053429E" w:rsidRPr="0053429E" w:rsidRDefault="0053429E" w:rsidP="0053429E">
      <w:pPr>
        <w:shd w:val="clear" w:color="auto" w:fill="FFFFFF"/>
        <w:spacing w:after="0" w:line="360" w:lineRule="auto"/>
        <w:jc w:val="both"/>
        <w:rPr>
          <w:rFonts w:ascii="Times New Roman" w:eastAsia="Times New Roman" w:hAnsi="Times New Roman" w:cs="Times New Roman"/>
          <w:b/>
          <w:sz w:val="26"/>
          <w:szCs w:val="26"/>
        </w:rPr>
      </w:pPr>
      <w:r w:rsidRPr="0053429E">
        <w:rPr>
          <w:rFonts w:ascii="Times New Roman" w:eastAsia="Times New Roman" w:hAnsi="Times New Roman" w:cs="Times New Roman"/>
          <w:b/>
          <w:sz w:val="26"/>
          <w:szCs w:val="26"/>
        </w:rPr>
        <w:t>Tài liệu tham khảo</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hyperlink r:id="rId12" w:tgtFrame="_blank" w:history="1">
        <w:r w:rsidRPr="0053429E">
          <w:rPr>
            <w:rFonts w:ascii="Times New Roman" w:eastAsia="Times New Roman" w:hAnsi="Times New Roman" w:cs="Times New Roman"/>
            <w:sz w:val="26"/>
            <w:szCs w:val="26"/>
          </w:rPr>
          <w:t xml:space="preserve">Luật Quản lý thuế </w:t>
        </w:r>
        <w:r w:rsidRPr="0053429E">
          <w:rPr>
            <w:rFonts w:ascii="Times New Roman" w:eastAsia="Times New Roman" w:hAnsi="Times New Roman" w:cs="Times New Roman"/>
            <w:sz w:val="26"/>
            <w:szCs w:val="26"/>
          </w:rPr>
          <w:t>số</w:t>
        </w:r>
      </w:hyperlink>
      <w:r w:rsidRPr="0053429E">
        <w:rPr>
          <w:rFonts w:ascii="Times New Roman" w:eastAsia="Times New Roman" w:hAnsi="Times New Roman" w:cs="Times New Roman"/>
          <w:sz w:val="26"/>
          <w:szCs w:val="26"/>
        </w:rPr>
        <w:t xml:space="preserve"> </w:t>
      </w:r>
      <w:r w:rsidRPr="0053429E">
        <w:rPr>
          <w:rFonts w:ascii="Times New Roman" w:hAnsi="Times New Roman" w:cs="Times New Roman"/>
          <w:color w:val="000000"/>
          <w:sz w:val="26"/>
          <w:szCs w:val="26"/>
          <w:shd w:val="clear" w:color="auto" w:fill="FFFFFF"/>
        </w:rPr>
        <w:t>38/2019/QH14</w:t>
      </w:r>
    </w:p>
    <w:p w:rsidR="0053429E" w:rsidRPr="0053429E" w:rsidRDefault="0053429E" w:rsidP="0053429E">
      <w:pPr>
        <w:shd w:val="clear" w:color="auto" w:fill="FFFFFF"/>
        <w:spacing w:after="0" w:line="360" w:lineRule="auto"/>
        <w:jc w:val="both"/>
        <w:rPr>
          <w:rFonts w:ascii="Times New Roman" w:eastAsia="Times New Roman" w:hAnsi="Times New Roman" w:cs="Times New Roman"/>
          <w:sz w:val="26"/>
          <w:szCs w:val="26"/>
        </w:rPr>
      </w:pPr>
      <w:r w:rsidRPr="0053429E">
        <w:rPr>
          <w:rFonts w:ascii="Times New Roman" w:eastAsia="Times New Roman" w:hAnsi="Times New Roman" w:cs="Times New Roman"/>
          <w:sz w:val="26"/>
          <w:szCs w:val="26"/>
        </w:rPr>
        <w:t> </w:t>
      </w:r>
      <w:hyperlink r:id="rId13" w:tgtFrame="_blank" w:history="1">
        <w:r w:rsidRPr="0053429E">
          <w:rPr>
            <w:rFonts w:ascii="Times New Roman" w:eastAsia="Times New Roman" w:hAnsi="Times New Roman" w:cs="Times New Roman"/>
            <w:sz w:val="26"/>
            <w:szCs w:val="26"/>
          </w:rPr>
          <w:t>Nghị định 126/2020/NĐ-CP</w:t>
        </w:r>
      </w:hyperlink>
      <w:r w:rsidRPr="0053429E">
        <w:rPr>
          <w:rFonts w:ascii="Times New Roman" w:eastAsia="Times New Roman" w:hAnsi="Times New Roman" w:cs="Times New Roman"/>
          <w:sz w:val="26"/>
          <w:szCs w:val="26"/>
        </w:rPr>
        <w:t>.</w:t>
      </w:r>
    </w:p>
    <w:p w:rsidR="00C8678B" w:rsidRPr="0053429E" w:rsidRDefault="00156471" w:rsidP="0053429E">
      <w:pPr>
        <w:spacing w:after="0" w:line="360" w:lineRule="auto"/>
        <w:jc w:val="both"/>
        <w:rPr>
          <w:rFonts w:ascii="Times New Roman" w:hAnsi="Times New Roman" w:cs="Times New Roman"/>
          <w:sz w:val="26"/>
          <w:szCs w:val="26"/>
        </w:rPr>
      </w:pPr>
    </w:p>
    <w:sectPr w:rsidR="00C8678B" w:rsidRPr="00534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9E"/>
    <w:rsid w:val="00156471"/>
    <w:rsid w:val="0053429E"/>
    <w:rsid w:val="007901CA"/>
    <w:rsid w:val="0094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E8A0"/>
  <w15:chartTrackingRefBased/>
  <w15:docId w15:val="{795A80B3-44EF-4CFF-8E58-108B8B9E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42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29E"/>
    <w:rPr>
      <w:rFonts w:ascii="Times New Roman" w:eastAsia="Times New Roman" w:hAnsi="Times New Roman" w:cs="Times New Roman"/>
      <w:b/>
      <w:bCs/>
      <w:sz w:val="36"/>
      <w:szCs w:val="36"/>
    </w:rPr>
  </w:style>
  <w:style w:type="character" w:styleId="Strong">
    <w:name w:val="Strong"/>
    <w:basedOn w:val="DefaultParagraphFont"/>
    <w:uiPriority w:val="22"/>
    <w:qFormat/>
    <w:rsid w:val="0053429E"/>
    <w:rPr>
      <w:b/>
      <w:bCs/>
    </w:rPr>
  </w:style>
  <w:style w:type="paragraph" w:styleId="NormalWeb">
    <w:name w:val="Normal (Web)"/>
    <w:basedOn w:val="Normal"/>
    <w:uiPriority w:val="99"/>
    <w:semiHidden/>
    <w:unhideWhenUsed/>
    <w:rsid w:val="005342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429E"/>
    <w:rPr>
      <w:color w:val="0000FF"/>
      <w:u w:val="single"/>
    </w:rPr>
  </w:style>
  <w:style w:type="character" w:styleId="Emphasis">
    <w:name w:val="Emphasis"/>
    <w:basedOn w:val="DefaultParagraphFont"/>
    <w:uiPriority w:val="20"/>
    <w:qFormat/>
    <w:rsid w:val="005342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4815">
      <w:bodyDiv w:val="1"/>
      <w:marLeft w:val="0"/>
      <w:marRight w:val="0"/>
      <w:marTop w:val="0"/>
      <w:marBottom w:val="0"/>
      <w:divBdr>
        <w:top w:val="none" w:sz="0" w:space="0" w:color="auto"/>
        <w:left w:val="none" w:sz="0" w:space="0" w:color="auto"/>
        <w:bottom w:val="none" w:sz="0" w:space="0" w:color="auto"/>
        <w:right w:val="none" w:sz="0" w:space="0" w:color="auto"/>
      </w:divBdr>
      <w:divsChild>
        <w:div w:id="189196476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595770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3066453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683244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449230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93757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302715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548774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8498738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2181332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401254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5180655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6600750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3486782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6-2020-ND-CP-huong-dan-Luat-Quan-ly-thue-455733.aspx?anchor=khoan_4_7" TargetMode="External"/><Relationship Id="rId13" Type="http://schemas.openxmlformats.org/officeDocument/2006/relationships/hyperlink" Target="https://thuvienphapluat.vn/van-ban/Thue-Phi-Le-Phi/Nghi-dinh-126-2020-ND-CP-huong-dan-Luat-Quan-ly-thue-455733.aspx?anchor=khoan_4_7" TargetMode="External"/><Relationship Id="rId3" Type="http://schemas.openxmlformats.org/officeDocument/2006/relationships/webSettings" Target="webSettings.xml"/><Relationship Id="rId7" Type="http://schemas.openxmlformats.org/officeDocument/2006/relationships/hyperlink" Target="https://thuvienphapluat.vn/van-ban/Thue-Phi-Le-Phi/Luat-quan-ly-thue-2019-387595.aspx?anchor=dieu_47" TargetMode="External"/><Relationship Id="rId12" Type="http://schemas.openxmlformats.org/officeDocument/2006/relationships/hyperlink" Target="https://thuvienphapluat.vn/van-ban/Thue-Phi-Le-Phi/Luat-quan-ly-thue-2019-387595.aspx?anchor=dieu_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e-Phi-Le-Phi/Luat-quan-ly-thue-2019-387595.aspx?anchor=dieu_47" TargetMode="External"/><Relationship Id="rId11" Type="http://schemas.openxmlformats.org/officeDocument/2006/relationships/hyperlink" Target="https://thuvienphapluat.vn/van-ban/Thue-Phi-Le-Phi/Nghi-dinh-126-2020-ND-CP-huong-dan-Luat-Quan-ly-thue-455733.aspx?anchor=khoan_4_7" TargetMode="External"/><Relationship Id="rId5" Type="http://schemas.openxmlformats.org/officeDocument/2006/relationships/hyperlink" Target="https://thuvienphapluat.vn/van-ban/Thue-Phi-Le-Phi/Luat-quan-ly-thue-2019-387595.aspx?anchor=dieu_47" TargetMode="External"/><Relationship Id="rId15" Type="http://schemas.openxmlformats.org/officeDocument/2006/relationships/theme" Target="theme/theme1.xml"/><Relationship Id="rId10" Type="http://schemas.openxmlformats.org/officeDocument/2006/relationships/hyperlink" Target="https://thuvienphapluat.vn/van-ban/Thue-Phi-Le-Phi/Luat-quan-ly-thue-2019-387595.aspx?anchor=dieu_47" TargetMode="External"/><Relationship Id="rId4" Type="http://schemas.openxmlformats.org/officeDocument/2006/relationships/hyperlink" Target="https://thuvienphapluat.vn/van-ban/Thue-Phi-Le-Phi/Luat-quan-ly-thue-2019-387595.aspx?anchor=dieu_47" TargetMode="External"/><Relationship Id="rId9" Type="http://schemas.openxmlformats.org/officeDocument/2006/relationships/hyperlink" Target="https://thuvienphapluat.vn/van-ban/Ke-toan-Kiem-toan/Nghi-dinh-123-2020-ND-CP-quy-dinh-hoa-don-chung-tu-445980.aspx?anchor=bieumau_pl_ia_ms_04_ss_hddt_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2023-03-15T13:52:00Z</dcterms:created>
  <dcterms:modified xsi:type="dcterms:W3CDTF">2023-03-15T14:06:00Z</dcterms:modified>
</cp:coreProperties>
</file>