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C11F" w14:textId="3E02DF80" w:rsidR="00C86A32" w:rsidRPr="00224612" w:rsidRDefault="00224612" w:rsidP="00224612">
      <w:pPr>
        <w:pStyle w:val="Heading1"/>
        <w:shd w:val="clear" w:color="auto" w:fill="FFFFFF"/>
        <w:jc w:val="center"/>
        <w:rPr>
          <w:color w:val="000000" w:themeColor="text1"/>
          <w:sz w:val="26"/>
          <w:szCs w:val="26"/>
          <w:lang w:val="vi-VN"/>
        </w:rPr>
      </w:pPr>
      <w:r w:rsidRPr="00224612">
        <w:rPr>
          <w:color w:val="000000" w:themeColor="text1"/>
          <w:sz w:val="26"/>
          <w:szCs w:val="26"/>
        </w:rPr>
        <w:t>NGHỊ ĐỊNH SỐ 08/2023/NĐ-CP VỀ TRÁI PHIẾU DOANH NGHIỆP</w:t>
      </w:r>
      <w:r w:rsidRPr="00224612">
        <w:rPr>
          <w:rStyle w:val="apple-converted-space"/>
          <w:color w:val="000000" w:themeColor="text1"/>
          <w:sz w:val="26"/>
          <w:szCs w:val="26"/>
        </w:rPr>
        <w:t> NHỮNG</w:t>
      </w:r>
      <w:r w:rsidRPr="00224612">
        <w:rPr>
          <w:rStyle w:val="apple-converted-space"/>
          <w:color w:val="000000" w:themeColor="text1"/>
          <w:sz w:val="26"/>
          <w:szCs w:val="26"/>
          <w:lang w:val="vi-VN"/>
        </w:rPr>
        <w:t xml:space="preserve"> ĐIỂM MỚI</w:t>
      </w:r>
    </w:p>
    <w:p w14:paraId="4477CA33" w14:textId="1B2CC561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nhất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phép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phiếu</w:t>
      </w:r>
      <w:proofErr w:type="spellEnd"/>
    </w:p>
    <w:p w14:paraId="4294DA86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08/2023/NĐ-CP (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39011E8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65/2022/NĐ-CP.</w:t>
      </w:r>
    </w:p>
    <w:p w14:paraId="290BD935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6989D9F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7E3AEA8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65%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6C4E96CD" w14:textId="77777777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hai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bằng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</w:p>
    <w:p w14:paraId="1DFC1CFA" w14:textId="77777777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34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153/2020/NĐ-CP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lẻ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"Thanh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đầy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đủ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đúng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thực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hiện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quyền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kèm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(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nếu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)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chủ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".</w:t>
      </w:r>
    </w:p>
    <w:p w14:paraId="6BF068E0" w14:textId="77777777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08/2023/NĐ-CP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05/3/2023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34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153/2020/NĐ-CP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Theo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bằng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 </w:t>
      </w:r>
    </w:p>
    <w:p w14:paraId="00F45336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828FF95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Đối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153/2020/NĐ-CP,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7E1BD1E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A20D980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944E6C7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C3606EA" w14:textId="77777777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ba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kéo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dài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tối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đa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quá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năm</w:t>
      </w:r>
      <w:proofErr w:type="spellEnd"/>
    </w:p>
    <w:p w14:paraId="6FB41E8A" w14:textId="77777777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16/9/2022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153/2020/NĐ-CP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“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”. 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08/2023/NĐ-CP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vừa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“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hai</w:t>
      </w:r>
      <w:proofErr w:type="spellEnd"/>
      <w:r w:rsidRPr="00C86A3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”</w:t>
      </w: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C0484BF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08/2023/NĐ-CP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46593E5" w14:textId="77777777" w:rsidR="00C86A32" w:rsidRPr="00C86A32" w:rsidRDefault="00C86A32" w:rsidP="00C86A32">
      <w:pPr>
        <w:spacing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ngưng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lực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nhiều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hết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C86A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31/12/2023</w:t>
      </w:r>
    </w:p>
    <w:p w14:paraId="47E75916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08/2023/NĐ-CP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31/12/2023, bao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15170DE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153/2020/NĐ-CP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65/2022/NĐ-CP.</w:t>
      </w:r>
    </w:p>
    <w:p w14:paraId="7C63C03F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đợt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65/2022/NĐ-CP.</w:t>
      </w:r>
    </w:p>
    <w:p w14:paraId="19D33BA8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153/2020/NĐ-CP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65/2022/NĐ-CP.</w:t>
      </w:r>
    </w:p>
    <w:p w14:paraId="57A45ECB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08/2023/NĐ-CP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7D56584" w14:textId="77777777" w:rsidR="00C86A32" w:rsidRPr="00C86A32" w:rsidRDefault="00C86A32" w:rsidP="00C86A3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đợt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đợt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05/3/2023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đợt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86A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65/2022/NĐ-CP./.</w:t>
      </w:r>
    </w:p>
    <w:p w14:paraId="30A455A4" w14:textId="77777777" w:rsidR="00C86A32" w:rsidRPr="00C86A32" w:rsidRDefault="00C86A32" w:rsidP="00C86A32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2413CD7" w14:textId="5945CA4A" w:rsidR="00E31F01" w:rsidRPr="00224612" w:rsidRDefault="00224612" w:rsidP="00224612">
      <w:pPr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22461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Nguyễn Thị Đoan Trang</w:t>
      </w:r>
    </w:p>
    <w:sectPr w:rsidR="00E31F01" w:rsidRPr="00224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01"/>
    <w:rsid w:val="00224612"/>
    <w:rsid w:val="00252A59"/>
    <w:rsid w:val="00C86A32"/>
    <w:rsid w:val="00E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61E63B"/>
  <w15:chartTrackingRefBased/>
  <w15:docId w15:val="{F9F233AB-4746-1941-9662-4DA9A22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F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F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31F01"/>
  </w:style>
  <w:style w:type="paragraph" w:styleId="NormalWeb">
    <w:name w:val="Normal (Web)"/>
    <w:basedOn w:val="Normal"/>
    <w:uiPriority w:val="99"/>
    <w:semiHidden/>
    <w:unhideWhenUsed/>
    <w:rsid w:val="00E31F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31F0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86A32"/>
    <w:rPr>
      <w:i/>
      <w:iCs/>
    </w:rPr>
  </w:style>
  <w:style w:type="character" w:styleId="Strong">
    <w:name w:val="Strong"/>
    <w:basedOn w:val="DefaultParagraphFont"/>
    <w:uiPriority w:val="22"/>
    <w:qFormat/>
    <w:rsid w:val="00C86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1156</Words>
  <Characters>3922</Characters>
  <Application>Microsoft Office Word</Application>
  <DocSecurity>0</DocSecurity>
  <Lines>356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2023-12-15T06:29:00Z</dcterms:created>
  <dcterms:modified xsi:type="dcterms:W3CDTF">2023-12-15T06:42:00Z</dcterms:modified>
</cp:coreProperties>
</file>