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E8656" w14:textId="14A2D2C4" w:rsidR="009A4764" w:rsidRPr="00FA1604" w:rsidRDefault="009A4764" w:rsidP="009A4764">
      <w:pPr>
        <w:widowControl w:val="0"/>
        <w:autoSpaceDE w:val="0"/>
        <w:autoSpaceDN w:val="0"/>
        <w:adjustRightInd w:val="0"/>
        <w:spacing w:line="360" w:lineRule="auto"/>
        <w:jc w:val="center"/>
        <w:rPr>
          <w:rFonts w:ascii="Times New Roman" w:hAnsi="Times New Roman" w:cs="Times New Roman"/>
          <w:b/>
          <w:color w:val="03296A"/>
          <w:sz w:val="32"/>
          <w:szCs w:val="28"/>
        </w:rPr>
      </w:pPr>
      <w:r w:rsidRPr="00FA1604">
        <w:rPr>
          <w:rFonts w:ascii="Times New Roman" w:hAnsi="Times New Roman" w:cs="Times New Roman"/>
          <w:b/>
          <w:color w:val="03296A"/>
          <w:sz w:val="32"/>
          <w:szCs w:val="28"/>
        </w:rPr>
        <w:t>HẠCH TOÁN THUẾ NHÀ THẦU</w:t>
      </w:r>
      <w:r w:rsidR="00FB1EC6" w:rsidRPr="00FA1604">
        <w:rPr>
          <w:rFonts w:ascii="Times New Roman" w:hAnsi="Times New Roman" w:cs="Times New Roman"/>
          <w:b/>
          <w:color w:val="03296A"/>
          <w:sz w:val="32"/>
          <w:szCs w:val="28"/>
        </w:rPr>
        <w:t xml:space="preserve"> NƯỚC NGOÀI</w:t>
      </w:r>
    </w:p>
    <w:p w14:paraId="39F78EB0" w14:textId="7A82903D" w:rsidR="009A4764" w:rsidRPr="00FA1604" w:rsidRDefault="009A4764" w:rsidP="009A4764">
      <w:pPr>
        <w:widowControl w:val="0"/>
        <w:autoSpaceDE w:val="0"/>
        <w:autoSpaceDN w:val="0"/>
        <w:adjustRightInd w:val="0"/>
        <w:spacing w:line="360" w:lineRule="auto"/>
        <w:ind w:left="720"/>
        <w:jc w:val="right"/>
        <w:rPr>
          <w:rFonts w:ascii="Times New Roman" w:hAnsi="Times New Roman" w:cs="Times New Roman"/>
          <w:color w:val="03296A"/>
          <w:sz w:val="32"/>
          <w:szCs w:val="28"/>
        </w:rPr>
      </w:pPr>
      <w:r w:rsidRPr="00FA1604">
        <w:rPr>
          <w:rFonts w:ascii="Times New Roman" w:hAnsi="Times New Roman" w:cs="Times New Roman"/>
          <w:color w:val="03296A"/>
          <w:sz w:val="32"/>
          <w:szCs w:val="28"/>
        </w:rPr>
        <w:t>Nguyễn Khánh Thu Hằng</w:t>
      </w:r>
    </w:p>
    <w:p w14:paraId="7DE460F4" w14:textId="77777777" w:rsidR="009A4764" w:rsidRPr="00FA1604" w:rsidRDefault="009A4764" w:rsidP="009A4764">
      <w:pPr>
        <w:widowControl w:val="0"/>
        <w:autoSpaceDE w:val="0"/>
        <w:autoSpaceDN w:val="0"/>
        <w:adjustRightInd w:val="0"/>
        <w:spacing w:line="360" w:lineRule="auto"/>
        <w:ind w:left="720"/>
        <w:jc w:val="right"/>
        <w:rPr>
          <w:rFonts w:ascii="Times New Roman" w:hAnsi="Times New Roman" w:cs="Times New Roman"/>
          <w:color w:val="03296A"/>
          <w:sz w:val="32"/>
          <w:szCs w:val="28"/>
        </w:rPr>
      </w:pPr>
    </w:p>
    <w:p w14:paraId="42E33413" w14:textId="77777777" w:rsidR="00FA1604" w:rsidRDefault="00CC7BC2" w:rsidP="009A4764">
      <w:pPr>
        <w:widowControl w:val="0"/>
        <w:autoSpaceDE w:val="0"/>
        <w:autoSpaceDN w:val="0"/>
        <w:adjustRightInd w:val="0"/>
        <w:spacing w:line="360" w:lineRule="auto"/>
        <w:ind w:left="720"/>
        <w:jc w:val="both"/>
        <w:rPr>
          <w:rFonts w:ascii="Times New Roman" w:hAnsi="Times New Roman" w:cs="Times New Roman"/>
          <w:color w:val="1A1A1A"/>
          <w:sz w:val="28"/>
          <w:szCs w:val="28"/>
        </w:rPr>
      </w:pPr>
      <w:hyperlink r:id="rId5" w:history="1">
        <w:r w:rsidR="009A4764" w:rsidRPr="00FA1604">
          <w:rPr>
            <w:rFonts w:ascii="Times New Roman" w:hAnsi="Times New Roman" w:cs="Times New Roman"/>
            <w:color w:val="000000" w:themeColor="text1"/>
            <w:sz w:val="28"/>
            <w:szCs w:val="28"/>
            <w:u w:color="0000FF"/>
          </w:rPr>
          <w:t>Thuế nhà thầu</w:t>
        </w:r>
      </w:hyperlink>
      <w:r w:rsidRPr="00FA1604">
        <w:rPr>
          <w:rFonts w:ascii="Times New Roman" w:hAnsi="Times New Roman" w:cs="Times New Roman"/>
          <w:color w:val="000000" w:themeColor="text1"/>
          <w:sz w:val="28"/>
          <w:szCs w:val="28"/>
        </w:rPr>
        <w:t xml:space="preserve"> là loại thuế được Nhà nước ban hành để áp dụng </w:t>
      </w:r>
      <w:r w:rsidRPr="00FA1604">
        <w:rPr>
          <w:rFonts w:ascii="Times New Roman" w:hAnsi="Times New Roman" w:cs="Times New Roman"/>
          <w:color w:val="1A1A1A"/>
          <w:sz w:val="28"/>
          <w:szCs w:val="28"/>
        </w:rPr>
        <w:t>lên đối tượ</w:t>
      </w:r>
      <w:r w:rsidR="00FA1604">
        <w:rPr>
          <w:rFonts w:ascii="Times New Roman" w:hAnsi="Times New Roman" w:cs="Times New Roman"/>
          <w:color w:val="1A1A1A"/>
          <w:sz w:val="28"/>
          <w:szCs w:val="28"/>
        </w:rPr>
        <w:t>ng</w:t>
      </w:r>
    </w:p>
    <w:p w14:paraId="6A756CFC" w14:textId="508CBA27" w:rsidR="00CC7BC2" w:rsidRPr="00FA1604" w:rsidRDefault="00CC7BC2" w:rsidP="00FA1604">
      <w:pPr>
        <w:widowControl w:val="0"/>
        <w:autoSpaceDE w:val="0"/>
        <w:autoSpaceDN w:val="0"/>
        <w:adjustRightInd w:val="0"/>
        <w:spacing w:line="360" w:lineRule="auto"/>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nhà thầu nước ngoài (bao gồm cả nhà thầu chính và nhà thầu phụ) nên về cơ bản thì thuế nhà thầu vẫn bao gồm các sắc thuế thông thường như thuế giá trị gia tăng (GTGT) – VAT, thuế thu nhập doanh nghiệp (TNDN) – CIT hoặc thuế thu nhập cá nhân (TNCN). Thuế nhà thầu là khoản thu đánh vào cá nhân, tổ chức nước ngoài có kinh doanh và phát sinh thu nhập tại lãnh thổ Việt Nam thông qua cá nhân, tổ chức Việt Nam. </w:t>
      </w:r>
      <w:r w:rsidRPr="00FA1604">
        <w:rPr>
          <w:rFonts w:ascii="Times New Roman" w:hAnsi="Times New Roman" w:cs="Times New Roman"/>
          <w:bCs/>
          <w:color w:val="1A1A1A"/>
          <w:sz w:val="28"/>
          <w:szCs w:val="28"/>
        </w:rPr>
        <w:t>Cách tính thuế nhà thầu</w:t>
      </w:r>
      <w:r w:rsidR="009A4764" w:rsidRPr="00FA1604">
        <w:rPr>
          <w:rFonts w:ascii="Times New Roman" w:hAnsi="Times New Roman" w:cs="Times New Roman"/>
          <w:bCs/>
          <w:color w:val="1A1A1A"/>
          <w:sz w:val="28"/>
          <w:szCs w:val="28"/>
        </w:rPr>
        <w:t xml:space="preserve"> như sau</w:t>
      </w:r>
      <w:r w:rsidR="00FA1604">
        <w:rPr>
          <w:rFonts w:ascii="Times New Roman" w:hAnsi="Times New Roman" w:cs="Times New Roman"/>
          <w:bCs/>
          <w:color w:val="1A1A1A"/>
          <w:sz w:val="28"/>
          <w:szCs w:val="28"/>
        </w:rPr>
        <w:t>:</w:t>
      </w:r>
    </w:p>
    <w:p w14:paraId="5EC54E14" w14:textId="41CE56D0" w:rsidR="00CC7BC2" w:rsidRPr="00FA1604" w:rsidRDefault="00FA1604" w:rsidP="009A4764">
      <w:pPr>
        <w:widowControl w:val="0"/>
        <w:tabs>
          <w:tab w:val="left" w:pos="220"/>
          <w:tab w:val="left" w:pos="720"/>
        </w:tabs>
        <w:autoSpaceDE w:val="0"/>
        <w:autoSpaceDN w:val="0"/>
        <w:adjustRightInd w:val="0"/>
        <w:spacing w:line="360" w:lineRule="auto"/>
        <w:ind w:left="-720"/>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Tính theo giá NET: giá trị hợp đồng chưa bao gồm thuế</w:t>
      </w:r>
    </w:p>
    <w:tbl>
      <w:tblPr>
        <w:tblW w:w="9288" w:type="dxa"/>
        <w:tblInd w:w="-118" w:type="dxa"/>
        <w:tblBorders>
          <w:top w:val="nil"/>
          <w:left w:val="nil"/>
          <w:right w:val="nil"/>
        </w:tblBorders>
        <w:tblLayout w:type="fixed"/>
        <w:tblLook w:val="0000" w:firstRow="0" w:lastRow="0" w:firstColumn="0" w:lastColumn="0" w:noHBand="0" w:noVBand="0"/>
      </w:tblPr>
      <w:tblGrid>
        <w:gridCol w:w="9288"/>
      </w:tblGrid>
      <w:tr w:rsidR="009A4764" w:rsidRPr="00FA1604" w14:paraId="115A9B88" w14:textId="77777777" w:rsidTr="009A4764">
        <w:tblPrEx>
          <w:tblCellMar>
            <w:top w:w="0" w:type="dxa"/>
            <w:bottom w:w="0" w:type="dxa"/>
          </w:tblCellMar>
        </w:tblPrEx>
        <w:tc>
          <w:tcPr>
            <w:tcW w:w="9288" w:type="dxa"/>
            <w:tcBorders>
              <w:top w:val="single" w:sz="8" w:space="0" w:color="6D6D6D"/>
              <w:left w:val="single" w:sz="8" w:space="0" w:color="6D6D6D"/>
              <w:bottom w:val="single" w:sz="8" w:space="0" w:color="6D6D6D"/>
              <w:right w:val="single" w:sz="8" w:space="0" w:color="6D6D6D"/>
            </w:tcBorders>
            <w:tcMar>
              <w:top w:w="160" w:type="nil"/>
              <w:left w:w="40" w:type="nil"/>
              <w:bottom w:w="40" w:type="nil"/>
              <w:right w:w="160" w:type="nil"/>
            </w:tcMar>
            <w:vAlign w:val="center"/>
          </w:tcPr>
          <w:p w14:paraId="52513B3E" w14:textId="77777777" w:rsidR="00CC7BC2" w:rsidRPr="00FA1604" w:rsidRDefault="00CC7BC2" w:rsidP="009A4764">
            <w:pPr>
              <w:widowControl w:val="0"/>
              <w:autoSpaceDE w:val="0"/>
              <w:autoSpaceDN w:val="0"/>
              <w:adjustRightInd w:val="0"/>
              <w:spacing w:line="360" w:lineRule="auto"/>
              <w:jc w:val="both"/>
              <w:rPr>
                <w:rFonts w:ascii="Times New Roman" w:hAnsi="Times New Roman" w:cs="Times New Roman"/>
                <w:color w:val="1A1A1A"/>
                <w:sz w:val="28"/>
                <w:szCs w:val="28"/>
              </w:rPr>
            </w:pPr>
            <w:r w:rsidRPr="00FA1604">
              <w:rPr>
                <w:rFonts w:ascii="Times New Roman" w:hAnsi="Times New Roman" w:cs="Times New Roman"/>
                <w:b/>
                <w:bCs/>
                <w:color w:val="1A1A1A"/>
                <w:sz w:val="28"/>
                <w:szCs w:val="28"/>
              </w:rPr>
              <w:t>Thuế GTGT = Doanh thu tính thuế GTGT x Tỷ lệ % để tính thuế GTGT trên doanh thu</w:t>
            </w:r>
          </w:p>
        </w:tc>
      </w:tr>
      <w:tr w:rsidR="009A4764" w:rsidRPr="00FA1604" w14:paraId="0C1BFFFB" w14:textId="77777777" w:rsidTr="009A4764">
        <w:tblPrEx>
          <w:tblCellMar>
            <w:top w:w="0" w:type="dxa"/>
            <w:bottom w:w="0" w:type="dxa"/>
          </w:tblCellMar>
        </w:tblPrEx>
        <w:tc>
          <w:tcPr>
            <w:tcW w:w="9288" w:type="dxa"/>
            <w:tcBorders>
              <w:top w:val="single" w:sz="8" w:space="0" w:color="6D6D6D"/>
              <w:left w:val="single" w:sz="8" w:space="0" w:color="6D6D6D"/>
              <w:bottom w:val="single" w:sz="8" w:space="0" w:color="6D6D6D"/>
              <w:right w:val="single" w:sz="8" w:space="0" w:color="6D6D6D"/>
            </w:tcBorders>
            <w:tcMar>
              <w:top w:w="160" w:type="nil"/>
              <w:left w:w="40" w:type="nil"/>
              <w:bottom w:w="40" w:type="nil"/>
              <w:right w:w="160" w:type="nil"/>
            </w:tcMar>
            <w:vAlign w:val="center"/>
          </w:tcPr>
          <w:p w14:paraId="5C0D7A5C" w14:textId="77777777" w:rsidR="00CC7BC2" w:rsidRPr="00FA1604" w:rsidRDefault="00CC7BC2" w:rsidP="009A4764">
            <w:pPr>
              <w:widowControl w:val="0"/>
              <w:autoSpaceDE w:val="0"/>
              <w:autoSpaceDN w:val="0"/>
              <w:adjustRightInd w:val="0"/>
              <w:spacing w:line="360" w:lineRule="auto"/>
              <w:jc w:val="both"/>
              <w:rPr>
                <w:rFonts w:ascii="Times New Roman" w:hAnsi="Times New Roman" w:cs="Times New Roman"/>
                <w:color w:val="1A1A1A"/>
                <w:sz w:val="28"/>
                <w:szCs w:val="28"/>
              </w:rPr>
            </w:pPr>
            <w:r w:rsidRPr="00FA1604">
              <w:rPr>
                <w:rFonts w:ascii="Times New Roman" w:hAnsi="Times New Roman" w:cs="Times New Roman"/>
                <w:b/>
                <w:bCs/>
                <w:color w:val="1A1A1A"/>
                <w:sz w:val="28"/>
                <w:szCs w:val="28"/>
              </w:rPr>
              <w:t>Thuế TNDN = Doanh thu tính thuế TNDN x Tỷ lệ thuế TNDN</w:t>
            </w:r>
          </w:p>
        </w:tc>
      </w:tr>
    </w:tbl>
    <w:p w14:paraId="2937EA85" w14:textId="23E551F1" w:rsidR="00CC7BC2" w:rsidRPr="00FA1604" w:rsidRDefault="00FA1604" w:rsidP="009A4764">
      <w:pPr>
        <w:widowControl w:val="0"/>
        <w:tabs>
          <w:tab w:val="left" w:pos="220"/>
          <w:tab w:val="left" w:pos="720"/>
        </w:tabs>
        <w:autoSpaceDE w:val="0"/>
        <w:autoSpaceDN w:val="0"/>
        <w:adjustRightInd w:val="0"/>
        <w:spacing w:line="360" w:lineRule="auto"/>
        <w:ind w:left="-720"/>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Tính theo giá GROSS: giá trị hợp đồng bao gồm thuế</w:t>
      </w:r>
    </w:p>
    <w:tbl>
      <w:tblPr>
        <w:tblW w:w="9288" w:type="dxa"/>
        <w:tblInd w:w="-118" w:type="dxa"/>
        <w:tblBorders>
          <w:top w:val="nil"/>
          <w:left w:val="nil"/>
          <w:right w:val="nil"/>
        </w:tblBorders>
        <w:tblLayout w:type="fixed"/>
        <w:tblLook w:val="0000" w:firstRow="0" w:lastRow="0" w:firstColumn="0" w:lastColumn="0" w:noHBand="0" w:noVBand="0"/>
      </w:tblPr>
      <w:tblGrid>
        <w:gridCol w:w="9288"/>
      </w:tblGrid>
      <w:tr w:rsidR="009A4764" w:rsidRPr="00FA1604" w14:paraId="0C2F2AE8" w14:textId="77777777" w:rsidTr="009A4764">
        <w:tblPrEx>
          <w:tblCellMar>
            <w:top w:w="0" w:type="dxa"/>
            <w:bottom w:w="0" w:type="dxa"/>
          </w:tblCellMar>
        </w:tblPrEx>
        <w:tc>
          <w:tcPr>
            <w:tcW w:w="9288" w:type="dxa"/>
            <w:tcBorders>
              <w:top w:val="single" w:sz="8" w:space="0" w:color="6D6D6D"/>
              <w:left w:val="single" w:sz="8" w:space="0" w:color="6D6D6D"/>
              <w:bottom w:val="single" w:sz="8" w:space="0" w:color="6D6D6D"/>
              <w:right w:val="single" w:sz="8" w:space="0" w:color="6D6D6D"/>
            </w:tcBorders>
            <w:tcMar>
              <w:top w:w="160" w:type="nil"/>
              <w:left w:w="40" w:type="nil"/>
              <w:bottom w:w="40" w:type="nil"/>
              <w:right w:w="160" w:type="nil"/>
            </w:tcMar>
            <w:vAlign w:val="center"/>
          </w:tcPr>
          <w:p w14:paraId="612CBBD8" w14:textId="77777777" w:rsidR="00CC7BC2" w:rsidRPr="00FA1604" w:rsidRDefault="00CC7BC2" w:rsidP="009A4764">
            <w:pPr>
              <w:widowControl w:val="0"/>
              <w:autoSpaceDE w:val="0"/>
              <w:autoSpaceDN w:val="0"/>
              <w:adjustRightInd w:val="0"/>
              <w:spacing w:line="360" w:lineRule="auto"/>
              <w:jc w:val="both"/>
              <w:rPr>
                <w:rFonts w:ascii="Times New Roman" w:hAnsi="Times New Roman" w:cs="Times New Roman"/>
                <w:color w:val="1A1A1A"/>
                <w:sz w:val="28"/>
                <w:szCs w:val="28"/>
              </w:rPr>
            </w:pPr>
            <w:r w:rsidRPr="00FA1604">
              <w:rPr>
                <w:rFonts w:ascii="Times New Roman" w:hAnsi="Times New Roman" w:cs="Times New Roman"/>
                <w:b/>
                <w:bCs/>
                <w:color w:val="1A1A1A"/>
                <w:sz w:val="28"/>
                <w:szCs w:val="28"/>
              </w:rPr>
              <w:t>Thuế GTGT = Giá trị trên hợp đồng x Tỷ lệ % để tính thuế GTGT trên doanh thu</w:t>
            </w:r>
          </w:p>
        </w:tc>
      </w:tr>
      <w:tr w:rsidR="009A4764" w:rsidRPr="00FA1604" w14:paraId="430497A7" w14:textId="77777777" w:rsidTr="009A4764">
        <w:tblPrEx>
          <w:tblCellMar>
            <w:top w:w="0" w:type="dxa"/>
            <w:bottom w:w="0" w:type="dxa"/>
          </w:tblCellMar>
        </w:tblPrEx>
        <w:tc>
          <w:tcPr>
            <w:tcW w:w="9288" w:type="dxa"/>
            <w:tcBorders>
              <w:top w:val="single" w:sz="8" w:space="0" w:color="6D6D6D"/>
              <w:left w:val="single" w:sz="8" w:space="0" w:color="6D6D6D"/>
              <w:bottom w:val="single" w:sz="8" w:space="0" w:color="6D6D6D"/>
              <w:right w:val="single" w:sz="8" w:space="0" w:color="6D6D6D"/>
            </w:tcBorders>
            <w:tcMar>
              <w:top w:w="160" w:type="nil"/>
              <w:left w:w="40" w:type="nil"/>
              <w:bottom w:w="40" w:type="nil"/>
              <w:right w:w="160" w:type="nil"/>
            </w:tcMar>
            <w:vAlign w:val="center"/>
          </w:tcPr>
          <w:p w14:paraId="088DCD2B" w14:textId="77777777" w:rsidR="00CC7BC2" w:rsidRPr="00FA1604" w:rsidRDefault="00CC7BC2" w:rsidP="009A4764">
            <w:pPr>
              <w:widowControl w:val="0"/>
              <w:autoSpaceDE w:val="0"/>
              <w:autoSpaceDN w:val="0"/>
              <w:adjustRightInd w:val="0"/>
              <w:spacing w:line="360" w:lineRule="auto"/>
              <w:jc w:val="both"/>
              <w:rPr>
                <w:rFonts w:ascii="Times New Roman" w:hAnsi="Times New Roman" w:cs="Times New Roman"/>
                <w:color w:val="1A1A1A"/>
                <w:sz w:val="28"/>
                <w:szCs w:val="28"/>
              </w:rPr>
            </w:pPr>
            <w:r w:rsidRPr="00FA1604">
              <w:rPr>
                <w:rFonts w:ascii="Times New Roman" w:hAnsi="Times New Roman" w:cs="Times New Roman"/>
                <w:b/>
                <w:bCs/>
                <w:color w:val="1A1A1A"/>
                <w:sz w:val="28"/>
                <w:szCs w:val="28"/>
              </w:rPr>
              <w:t>Thuế TNDN = (Giá trị hợp đồng – thuế GTGT) x Tỷ lệ thuế TNDN</w:t>
            </w:r>
          </w:p>
        </w:tc>
      </w:tr>
    </w:tbl>
    <w:p w14:paraId="223AC1E1" w14:textId="2F853F00" w:rsidR="00CC7BC2" w:rsidRPr="00FA1604" w:rsidRDefault="00FA1604" w:rsidP="009A4764">
      <w:pPr>
        <w:widowControl w:val="0"/>
        <w:tabs>
          <w:tab w:val="left" w:pos="220"/>
          <w:tab w:val="left" w:pos="720"/>
        </w:tabs>
        <w:autoSpaceDE w:val="0"/>
        <w:autoSpaceDN w:val="0"/>
        <w:adjustRightInd w:val="0"/>
        <w:spacing w:line="360" w:lineRule="auto"/>
        <w:ind w:left="-720"/>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Tính theo trị giá hợp đồng chưa bao gồm thuế GTGT (thuế TNDN nhà thầu chịu) </w:t>
      </w:r>
    </w:p>
    <w:tbl>
      <w:tblPr>
        <w:tblW w:w="9288" w:type="dxa"/>
        <w:tblInd w:w="-118" w:type="dxa"/>
        <w:tblBorders>
          <w:top w:val="nil"/>
          <w:left w:val="nil"/>
          <w:right w:val="nil"/>
        </w:tblBorders>
        <w:tblLayout w:type="fixed"/>
        <w:tblLook w:val="0000" w:firstRow="0" w:lastRow="0" w:firstColumn="0" w:lastColumn="0" w:noHBand="0" w:noVBand="0"/>
      </w:tblPr>
      <w:tblGrid>
        <w:gridCol w:w="9288"/>
      </w:tblGrid>
      <w:tr w:rsidR="009A4764" w:rsidRPr="00FA1604" w14:paraId="1FBFE8A7" w14:textId="77777777" w:rsidTr="009A4764">
        <w:tblPrEx>
          <w:tblCellMar>
            <w:top w:w="0" w:type="dxa"/>
            <w:bottom w:w="0" w:type="dxa"/>
          </w:tblCellMar>
        </w:tblPrEx>
        <w:trPr>
          <w:trHeight w:val="358"/>
        </w:trPr>
        <w:tc>
          <w:tcPr>
            <w:tcW w:w="9288" w:type="dxa"/>
            <w:tcBorders>
              <w:top w:val="single" w:sz="8" w:space="0" w:color="6D6D6D"/>
              <w:left w:val="single" w:sz="8" w:space="0" w:color="6D6D6D"/>
              <w:bottom w:val="single" w:sz="8" w:space="0" w:color="6D6D6D"/>
              <w:right w:val="single" w:sz="8" w:space="0" w:color="6D6D6D"/>
            </w:tcBorders>
            <w:tcMar>
              <w:top w:w="160" w:type="nil"/>
              <w:left w:w="40" w:type="nil"/>
              <w:bottom w:w="40" w:type="nil"/>
              <w:right w:w="160" w:type="nil"/>
            </w:tcMar>
            <w:vAlign w:val="center"/>
          </w:tcPr>
          <w:p w14:paraId="432C90E8" w14:textId="77777777" w:rsidR="00CC7BC2" w:rsidRPr="00FA1604" w:rsidRDefault="00CC7BC2" w:rsidP="009A4764">
            <w:pPr>
              <w:widowControl w:val="0"/>
              <w:autoSpaceDE w:val="0"/>
              <w:autoSpaceDN w:val="0"/>
              <w:adjustRightInd w:val="0"/>
              <w:spacing w:line="360" w:lineRule="auto"/>
              <w:jc w:val="both"/>
              <w:rPr>
                <w:rFonts w:ascii="Times New Roman" w:hAnsi="Times New Roman" w:cs="Times New Roman"/>
                <w:color w:val="1A1A1A"/>
                <w:sz w:val="28"/>
                <w:szCs w:val="28"/>
              </w:rPr>
            </w:pPr>
            <w:r w:rsidRPr="00FA1604">
              <w:rPr>
                <w:rFonts w:ascii="Times New Roman" w:hAnsi="Times New Roman" w:cs="Times New Roman"/>
                <w:b/>
                <w:bCs/>
                <w:color w:val="1A1A1A"/>
                <w:sz w:val="28"/>
                <w:szCs w:val="28"/>
              </w:rPr>
              <w:t>Thuế GTGT = Doanh thu tính thuế GTGT x Tỷ lệ % để tính thuế GTGT trên doanh thu</w:t>
            </w:r>
          </w:p>
        </w:tc>
      </w:tr>
      <w:tr w:rsidR="009A4764" w:rsidRPr="00FA1604" w14:paraId="48603432" w14:textId="77777777" w:rsidTr="009A4764">
        <w:tblPrEx>
          <w:tblCellMar>
            <w:top w:w="0" w:type="dxa"/>
            <w:bottom w:w="0" w:type="dxa"/>
          </w:tblCellMar>
        </w:tblPrEx>
        <w:tc>
          <w:tcPr>
            <w:tcW w:w="9288" w:type="dxa"/>
            <w:tcBorders>
              <w:top w:val="single" w:sz="8" w:space="0" w:color="6D6D6D"/>
              <w:left w:val="single" w:sz="8" w:space="0" w:color="6D6D6D"/>
              <w:bottom w:val="single" w:sz="8" w:space="0" w:color="6D6D6D"/>
              <w:right w:val="single" w:sz="8" w:space="0" w:color="6D6D6D"/>
            </w:tcBorders>
            <w:tcMar>
              <w:top w:w="160" w:type="nil"/>
              <w:left w:w="40" w:type="nil"/>
              <w:bottom w:w="40" w:type="nil"/>
              <w:right w:w="160" w:type="nil"/>
            </w:tcMar>
            <w:vAlign w:val="center"/>
          </w:tcPr>
          <w:p w14:paraId="204D1660" w14:textId="77777777" w:rsidR="00CC7BC2" w:rsidRPr="00FA1604" w:rsidRDefault="00CC7BC2" w:rsidP="009A4764">
            <w:pPr>
              <w:widowControl w:val="0"/>
              <w:autoSpaceDE w:val="0"/>
              <w:autoSpaceDN w:val="0"/>
              <w:adjustRightInd w:val="0"/>
              <w:spacing w:line="360" w:lineRule="auto"/>
              <w:jc w:val="both"/>
              <w:rPr>
                <w:rFonts w:ascii="Times New Roman" w:hAnsi="Times New Roman" w:cs="Times New Roman"/>
                <w:color w:val="1A1A1A"/>
                <w:sz w:val="28"/>
                <w:szCs w:val="28"/>
              </w:rPr>
            </w:pPr>
            <w:r w:rsidRPr="00FA1604">
              <w:rPr>
                <w:rFonts w:ascii="Times New Roman" w:hAnsi="Times New Roman" w:cs="Times New Roman"/>
                <w:b/>
                <w:bCs/>
                <w:color w:val="1A1A1A"/>
                <w:sz w:val="28"/>
                <w:szCs w:val="28"/>
              </w:rPr>
              <w:t>Thuế TNDN = Giá trị hợp đồng x Tỷ lệ thuế TNDN</w:t>
            </w:r>
          </w:p>
        </w:tc>
      </w:tr>
    </w:tbl>
    <w:p w14:paraId="2DBF3B68" w14:textId="77777777" w:rsidR="00CC7BC2" w:rsidRPr="00FA1604" w:rsidRDefault="00CC7BC2" w:rsidP="009A4764">
      <w:pPr>
        <w:widowControl w:val="0"/>
        <w:autoSpaceDE w:val="0"/>
        <w:autoSpaceDN w:val="0"/>
        <w:adjustRightInd w:val="0"/>
        <w:spacing w:line="360" w:lineRule="auto"/>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Trong đó, công thức tính doanh thu tính thuế GTGT:</w:t>
      </w:r>
    </w:p>
    <w:tbl>
      <w:tblPr>
        <w:tblW w:w="9288" w:type="dxa"/>
        <w:tblInd w:w="-118" w:type="dxa"/>
        <w:tblBorders>
          <w:top w:val="nil"/>
          <w:left w:val="nil"/>
          <w:right w:val="nil"/>
        </w:tblBorders>
        <w:tblLayout w:type="fixed"/>
        <w:tblLook w:val="0000" w:firstRow="0" w:lastRow="0" w:firstColumn="0" w:lastColumn="0" w:noHBand="0" w:noVBand="0"/>
      </w:tblPr>
      <w:tblGrid>
        <w:gridCol w:w="9288"/>
      </w:tblGrid>
      <w:tr w:rsidR="009A4764" w:rsidRPr="00FA1604" w14:paraId="47D31789" w14:textId="77777777" w:rsidTr="009A4764">
        <w:tblPrEx>
          <w:tblCellMar>
            <w:top w:w="0" w:type="dxa"/>
            <w:bottom w:w="0" w:type="dxa"/>
          </w:tblCellMar>
        </w:tblPrEx>
        <w:tc>
          <w:tcPr>
            <w:tcW w:w="9288" w:type="dxa"/>
            <w:tcBorders>
              <w:top w:val="single" w:sz="8" w:space="0" w:color="6D6D6D"/>
              <w:left w:val="single" w:sz="8" w:space="0" w:color="6D6D6D"/>
              <w:bottom w:val="single" w:sz="8" w:space="0" w:color="6D6D6D"/>
              <w:right w:val="single" w:sz="8" w:space="0" w:color="6D6D6D"/>
            </w:tcBorders>
            <w:tcMar>
              <w:top w:w="160" w:type="nil"/>
              <w:left w:w="40" w:type="nil"/>
              <w:bottom w:w="40" w:type="nil"/>
              <w:right w:w="160" w:type="nil"/>
            </w:tcMar>
            <w:vAlign w:val="center"/>
          </w:tcPr>
          <w:p w14:paraId="1C56C512" w14:textId="77777777" w:rsidR="00CC7BC2" w:rsidRPr="00FA1604" w:rsidRDefault="00CC7BC2" w:rsidP="009A4764">
            <w:pPr>
              <w:widowControl w:val="0"/>
              <w:autoSpaceDE w:val="0"/>
              <w:autoSpaceDN w:val="0"/>
              <w:adjustRightInd w:val="0"/>
              <w:spacing w:line="360" w:lineRule="auto"/>
              <w:jc w:val="both"/>
              <w:rPr>
                <w:rFonts w:ascii="Times New Roman" w:hAnsi="Times New Roman" w:cs="Times New Roman"/>
                <w:color w:val="1A1A1A"/>
                <w:sz w:val="28"/>
                <w:szCs w:val="28"/>
              </w:rPr>
            </w:pPr>
            <w:r w:rsidRPr="00FA1604">
              <w:rPr>
                <w:rFonts w:ascii="Times New Roman" w:hAnsi="Times New Roman" w:cs="Times New Roman"/>
                <w:b/>
                <w:bCs/>
                <w:color w:val="1A1A1A"/>
                <w:sz w:val="28"/>
                <w:szCs w:val="28"/>
              </w:rPr>
              <w:t>Doanh thu tính thuế = (Giá trị hợp đồng) / (1 – Tỷ lệ % tính thuế GTGT trên doanh thu)</w:t>
            </w:r>
          </w:p>
        </w:tc>
      </w:tr>
    </w:tbl>
    <w:p w14:paraId="241FB31C" w14:textId="05388319" w:rsidR="00CC7BC2" w:rsidRPr="00FA1604" w:rsidRDefault="009A4764" w:rsidP="009A4764">
      <w:pPr>
        <w:widowControl w:val="0"/>
        <w:tabs>
          <w:tab w:val="left" w:pos="220"/>
          <w:tab w:val="left" w:pos="720"/>
        </w:tabs>
        <w:autoSpaceDE w:val="0"/>
        <w:autoSpaceDN w:val="0"/>
        <w:adjustRightInd w:val="0"/>
        <w:spacing w:line="360" w:lineRule="auto"/>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ab/>
      </w:r>
      <w:r w:rsidRPr="00FA1604">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Theo quy định tại điểm 2.7, điều 6 thông tư Điều 6 Thông tư 78/2014/TT-</w:t>
      </w:r>
      <w:r w:rsidR="00CC7BC2" w:rsidRPr="00FA1604">
        <w:rPr>
          <w:rFonts w:ascii="Times New Roman" w:hAnsi="Times New Roman" w:cs="Times New Roman"/>
          <w:color w:val="1A1A1A"/>
          <w:sz w:val="28"/>
          <w:szCs w:val="28"/>
        </w:rPr>
        <w:lastRenderedPageBreak/>
        <w:t xml:space="preserve">BTC, chi phí không được trừ khi tính thuế TNDN bao gồm: </w:t>
      </w:r>
      <w:r w:rsidR="00CC7BC2" w:rsidRPr="00FA1604">
        <w:rPr>
          <w:rFonts w:ascii="Times New Roman" w:hAnsi="Times New Roman" w:cs="Times New Roman"/>
          <w:iCs/>
          <w:color w:val="1A1A1A"/>
          <w:sz w:val="28"/>
          <w:szCs w:val="28"/>
        </w:rPr>
        <w:t xml:space="preserve">thuế thu nhập doanh nghiệp </w:t>
      </w:r>
      <w:r w:rsidR="00CC7BC2" w:rsidRPr="00FA1604">
        <w:rPr>
          <w:rFonts w:ascii="Times New Roman" w:hAnsi="Times New Roman" w:cs="Times New Roman"/>
          <w:b/>
          <w:bCs/>
          <w:color w:val="1A1A1A"/>
          <w:sz w:val="28"/>
          <w:szCs w:val="28"/>
        </w:rPr>
        <w:t>trừ trường hợp</w:t>
      </w:r>
      <w:r w:rsidR="00CC7BC2" w:rsidRPr="00FA1604">
        <w:rPr>
          <w:rFonts w:ascii="Times New Roman" w:hAnsi="Times New Roman" w:cs="Times New Roman"/>
          <w:iCs/>
          <w:color w:val="1A1A1A"/>
          <w:sz w:val="28"/>
          <w:szCs w:val="28"/>
        </w:rPr>
        <w:t xml:space="preserve"> doanh nghiệp nộp thay thuế thu nhập doanh nghiệp của nhà thầu nước ngoài mà theo thỏa thuận tại hợp đồng nhà thầu, nhà thầu phụ nước ngoài, doanh thu nhà thầu, nhà thầu phụ nước ngoài nhận được </w:t>
      </w:r>
      <w:r w:rsidR="00CC7BC2" w:rsidRPr="00FA1604">
        <w:rPr>
          <w:rFonts w:ascii="Times New Roman" w:hAnsi="Times New Roman" w:cs="Times New Roman"/>
          <w:b/>
          <w:bCs/>
          <w:color w:val="1A1A1A"/>
          <w:sz w:val="28"/>
          <w:szCs w:val="28"/>
        </w:rPr>
        <w:t>không</w:t>
      </w:r>
      <w:r w:rsidR="00CC7BC2" w:rsidRPr="00FA1604">
        <w:rPr>
          <w:rFonts w:ascii="Times New Roman" w:hAnsi="Times New Roman" w:cs="Times New Roman"/>
          <w:iCs/>
          <w:color w:val="1A1A1A"/>
          <w:sz w:val="28"/>
          <w:szCs w:val="28"/>
        </w:rPr>
        <w:t xml:space="preserve"> bao gồm thuế thu nhập doanh nghiệp; </w:t>
      </w:r>
      <w:r w:rsidR="00CC7BC2" w:rsidRPr="00FA1604">
        <w:rPr>
          <w:rFonts w:ascii="Times New Roman" w:hAnsi="Times New Roman" w:cs="Times New Roman"/>
          <w:color w:val="1A1A1A"/>
          <w:sz w:val="28"/>
          <w:szCs w:val="28"/>
        </w:rPr>
        <w:t>Do đó, thuế TNDN nhà thầu nếu tính theo giá NET sẽ được tính là chi phí hợp lý được trừ; thuế TNDN nhà thầu tính theo giá Gross không được tính là chi phí hợp lý và phải theo dõi tại tài khoản 811</w:t>
      </w:r>
    </w:p>
    <w:p w14:paraId="2D523F41" w14:textId="6989CF17" w:rsidR="00CC7BC2" w:rsidRPr="00FA1604" w:rsidRDefault="009A4764" w:rsidP="009A4764">
      <w:pPr>
        <w:widowControl w:val="0"/>
        <w:autoSpaceDE w:val="0"/>
        <w:autoSpaceDN w:val="0"/>
        <w:adjustRightInd w:val="0"/>
        <w:spacing w:line="360" w:lineRule="auto"/>
        <w:jc w:val="both"/>
        <w:rPr>
          <w:rFonts w:ascii="Times New Roman" w:hAnsi="Times New Roman" w:cs="Times New Roman"/>
          <w:b/>
          <w:i/>
          <w:color w:val="1A1A1A"/>
          <w:sz w:val="28"/>
          <w:szCs w:val="28"/>
        </w:rPr>
      </w:pPr>
      <w:r w:rsidRPr="00FA1604">
        <w:rPr>
          <w:rFonts w:ascii="Times New Roman" w:hAnsi="Times New Roman" w:cs="Times New Roman"/>
          <w:b/>
          <w:i/>
          <w:iCs/>
          <w:color w:val="1A1A1A"/>
          <w:sz w:val="28"/>
          <w:szCs w:val="28"/>
        </w:rPr>
        <w:t xml:space="preserve">Thứ nhất, </w:t>
      </w:r>
      <w:r w:rsidR="00CC7BC2" w:rsidRPr="00FA1604">
        <w:rPr>
          <w:rFonts w:ascii="Times New Roman" w:hAnsi="Times New Roman" w:cs="Times New Roman"/>
          <w:b/>
          <w:i/>
          <w:iCs/>
          <w:color w:val="1A1A1A"/>
          <w:sz w:val="28"/>
          <w:szCs w:val="28"/>
        </w:rPr>
        <w:t>Trường hợp Hợp đồng giá GROSS </w:t>
      </w:r>
    </w:p>
    <w:p w14:paraId="1838CF54" w14:textId="25CEC289" w:rsidR="00CC7BC2" w:rsidRPr="00FA1604" w:rsidRDefault="00FA1604" w:rsidP="009A4764">
      <w:pPr>
        <w:widowControl w:val="0"/>
        <w:tabs>
          <w:tab w:val="left" w:pos="220"/>
          <w:tab w:val="left" w:pos="720"/>
        </w:tabs>
        <w:autoSpaceDE w:val="0"/>
        <w:autoSpaceDN w:val="0"/>
        <w:adjustRightInd w:val="0"/>
        <w:spacing w:line="360" w:lineRule="auto"/>
        <w:ind w:left="-720"/>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Công nợ và thuế:</w:t>
      </w:r>
    </w:p>
    <w:p w14:paraId="56768F0C"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bookmarkStart w:id="0" w:name="_GoBack"/>
      <w:bookmarkEnd w:id="0"/>
      <w:r w:rsidRPr="00FA1604">
        <w:rPr>
          <w:rFonts w:ascii="Times New Roman" w:hAnsi="Times New Roman" w:cs="Times New Roman"/>
          <w:color w:val="1A1A1A"/>
          <w:sz w:val="28"/>
          <w:szCs w:val="28"/>
        </w:rPr>
        <w:t>Nợ TK 627, 642</w:t>
      </w:r>
    </w:p>
    <w:p w14:paraId="1D5AAEC8"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Nợ TK 811 – Phản ánh thuế TNDN (do không được tính là chi phí hợp lý được trừ)</w:t>
      </w:r>
    </w:p>
    <w:p w14:paraId="3AEFE5F4"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Nợ TK 133 – Phản ánh thuế GTGT được khấu trừ</w:t>
      </w:r>
    </w:p>
    <w:p w14:paraId="20559D6E" w14:textId="77777777" w:rsidR="00CC7BC2" w:rsidRPr="00FA1604" w:rsidRDefault="00CC7BC2" w:rsidP="00FA1604">
      <w:pPr>
        <w:widowControl w:val="0"/>
        <w:autoSpaceDE w:val="0"/>
        <w:autoSpaceDN w:val="0"/>
        <w:adjustRightInd w:val="0"/>
        <w:spacing w:line="360" w:lineRule="auto"/>
        <w:ind w:left="720"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Có TK 331 – giá trị hợp đồng sau khi đã trừ đi thuế nhà thầu</w:t>
      </w:r>
    </w:p>
    <w:p w14:paraId="0F854BFF" w14:textId="77777777" w:rsidR="00CC7BC2" w:rsidRPr="00FA1604" w:rsidRDefault="00CC7BC2" w:rsidP="00FA1604">
      <w:pPr>
        <w:widowControl w:val="0"/>
        <w:autoSpaceDE w:val="0"/>
        <w:autoSpaceDN w:val="0"/>
        <w:adjustRightInd w:val="0"/>
        <w:spacing w:line="360" w:lineRule="auto"/>
        <w:ind w:left="720"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Có TK 3338 – thuế nhà thầu phải nộp</w:t>
      </w:r>
    </w:p>
    <w:p w14:paraId="07C1309C" w14:textId="0809CBF4" w:rsidR="00CC7BC2" w:rsidRPr="00FA1604" w:rsidRDefault="00FA1604" w:rsidP="009A4764">
      <w:pPr>
        <w:widowControl w:val="0"/>
        <w:tabs>
          <w:tab w:val="left" w:pos="220"/>
          <w:tab w:val="left" w:pos="720"/>
        </w:tabs>
        <w:autoSpaceDE w:val="0"/>
        <w:autoSpaceDN w:val="0"/>
        <w:adjustRightInd w:val="0"/>
        <w:spacing w:line="360" w:lineRule="auto"/>
        <w:ind w:left="-720"/>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Sau khi nộp thuế:</w:t>
      </w:r>
    </w:p>
    <w:p w14:paraId="19728247"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Nợ TK 3338</w:t>
      </w:r>
    </w:p>
    <w:p w14:paraId="58FC9AB5" w14:textId="77777777" w:rsidR="00CC7BC2" w:rsidRPr="00FA1604" w:rsidRDefault="00CC7BC2" w:rsidP="00FA1604">
      <w:pPr>
        <w:widowControl w:val="0"/>
        <w:autoSpaceDE w:val="0"/>
        <w:autoSpaceDN w:val="0"/>
        <w:adjustRightInd w:val="0"/>
        <w:spacing w:line="360" w:lineRule="auto"/>
        <w:ind w:left="720"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Có TK 112</w:t>
      </w:r>
    </w:p>
    <w:p w14:paraId="6DC80571" w14:textId="09781307" w:rsidR="00CC7BC2" w:rsidRPr="00FA1604" w:rsidRDefault="009A4764" w:rsidP="009A4764">
      <w:pPr>
        <w:widowControl w:val="0"/>
        <w:autoSpaceDE w:val="0"/>
        <w:autoSpaceDN w:val="0"/>
        <w:adjustRightInd w:val="0"/>
        <w:spacing w:line="360" w:lineRule="auto"/>
        <w:jc w:val="both"/>
        <w:rPr>
          <w:rFonts w:ascii="Times New Roman" w:hAnsi="Times New Roman" w:cs="Times New Roman"/>
          <w:b/>
          <w:i/>
          <w:color w:val="1A1A1A"/>
          <w:sz w:val="28"/>
          <w:szCs w:val="28"/>
        </w:rPr>
      </w:pPr>
      <w:r w:rsidRPr="00FA1604">
        <w:rPr>
          <w:rFonts w:ascii="Times New Roman" w:hAnsi="Times New Roman" w:cs="Times New Roman"/>
          <w:b/>
          <w:i/>
          <w:iCs/>
          <w:color w:val="1A1A1A"/>
          <w:sz w:val="28"/>
          <w:szCs w:val="28"/>
        </w:rPr>
        <w:t xml:space="preserve">Thứ hai, </w:t>
      </w:r>
      <w:r w:rsidR="00CC7BC2" w:rsidRPr="00FA1604">
        <w:rPr>
          <w:rFonts w:ascii="Times New Roman" w:hAnsi="Times New Roman" w:cs="Times New Roman"/>
          <w:b/>
          <w:i/>
          <w:iCs/>
          <w:color w:val="1A1A1A"/>
          <w:sz w:val="28"/>
          <w:szCs w:val="28"/>
        </w:rPr>
        <w:t>Trường hợp Hợp đồng tính theo giá Net</w:t>
      </w:r>
    </w:p>
    <w:p w14:paraId="7C087391" w14:textId="500EC196" w:rsidR="00CC7BC2" w:rsidRPr="00FA1604" w:rsidRDefault="00FA1604" w:rsidP="00FA1604">
      <w:pPr>
        <w:widowControl w:val="0"/>
        <w:tabs>
          <w:tab w:val="left" w:pos="220"/>
          <w:tab w:val="left" w:pos="720"/>
        </w:tabs>
        <w:autoSpaceDE w:val="0"/>
        <w:autoSpaceDN w:val="0"/>
        <w:adjustRightInd w:val="0"/>
        <w:spacing w:line="360" w:lineRule="auto"/>
        <w:ind w:left="-720" w:firstLine="720"/>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Nợ phải trả nhà thầu nước ngoài:</w:t>
      </w:r>
    </w:p>
    <w:p w14:paraId="6B468B64"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Nợ TK 627, 642: Giá trị hợp đồng</w:t>
      </w:r>
    </w:p>
    <w:p w14:paraId="0C5E7624" w14:textId="77777777" w:rsidR="00CC7BC2" w:rsidRPr="00FA1604" w:rsidRDefault="00CC7BC2" w:rsidP="00FA1604">
      <w:pPr>
        <w:widowControl w:val="0"/>
        <w:autoSpaceDE w:val="0"/>
        <w:autoSpaceDN w:val="0"/>
        <w:adjustRightInd w:val="0"/>
        <w:spacing w:line="360" w:lineRule="auto"/>
        <w:ind w:left="720"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Có TK 331 Giá trị hợp đồng</w:t>
      </w:r>
    </w:p>
    <w:p w14:paraId="1EE6EB78" w14:textId="7AE1FC5F" w:rsidR="00CC7BC2" w:rsidRPr="00FA1604" w:rsidRDefault="00FA1604" w:rsidP="009A4764">
      <w:pPr>
        <w:widowControl w:val="0"/>
        <w:tabs>
          <w:tab w:val="left" w:pos="220"/>
          <w:tab w:val="left" w:pos="720"/>
        </w:tabs>
        <w:autoSpaceDE w:val="0"/>
        <w:autoSpaceDN w:val="0"/>
        <w:adjustRightInd w:val="0"/>
        <w:spacing w:line="360" w:lineRule="auto"/>
        <w:ind w:left="-720"/>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Thuế GTGT, TNDN:</w:t>
      </w:r>
    </w:p>
    <w:p w14:paraId="1BE40A67"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Nợ TK 133: Số thuế GTGT được khấu trừ</w:t>
      </w:r>
    </w:p>
    <w:p w14:paraId="166FC08D"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Nợ TK 627, 642: Số thuế TNDN</w:t>
      </w:r>
    </w:p>
    <w:p w14:paraId="583A9E5D" w14:textId="77777777" w:rsidR="00CC7BC2" w:rsidRPr="00FA1604" w:rsidRDefault="00CC7BC2" w:rsidP="00FA1604">
      <w:pPr>
        <w:widowControl w:val="0"/>
        <w:autoSpaceDE w:val="0"/>
        <w:autoSpaceDN w:val="0"/>
        <w:adjustRightInd w:val="0"/>
        <w:spacing w:line="360" w:lineRule="auto"/>
        <w:ind w:left="720"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Có TK 3338: Phản ánh tổng số thuế GTGT và số thuế TNDN</w:t>
      </w:r>
    </w:p>
    <w:p w14:paraId="5BDA3804" w14:textId="4A9BB336" w:rsidR="00CC7BC2" w:rsidRPr="00FA1604" w:rsidRDefault="00FA1604" w:rsidP="009A4764">
      <w:pPr>
        <w:widowControl w:val="0"/>
        <w:tabs>
          <w:tab w:val="left" w:pos="220"/>
          <w:tab w:val="left" w:pos="720"/>
        </w:tabs>
        <w:autoSpaceDE w:val="0"/>
        <w:autoSpaceDN w:val="0"/>
        <w:adjustRightInd w:val="0"/>
        <w:spacing w:line="360" w:lineRule="auto"/>
        <w:ind w:left="-720"/>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Sau khi nộp thuế:</w:t>
      </w:r>
    </w:p>
    <w:p w14:paraId="5DA3D050"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lastRenderedPageBreak/>
        <w:t>Nợ TK 3338</w:t>
      </w:r>
    </w:p>
    <w:p w14:paraId="48E8406F" w14:textId="2AD1C9B1" w:rsidR="00CC7BC2" w:rsidRPr="00FA1604" w:rsidRDefault="00CC7BC2" w:rsidP="00FA1604">
      <w:pPr>
        <w:widowControl w:val="0"/>
        <w:autoSpaceDE w:val="0"/>
        <w:autoSpaceDN w:val="0"/>
        <w:adjustRightInd w:val="0"/>
        <w:spacing w:line="360" w:lineRule="auto"/>
        <w:ind w:left="1440"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Có TK 111,112</w:t>
      </w:r>
    </w:p>
    <w:p w14:paraId="10FCC9A7" w14:textId="0EBAAED5" w:rsidR="00CC7BC2" w:rsidRPr="00FA1604" w:rsidRDefault="009A4764" w:rsidP="009A4764">
      <w:pPr>
        <w:widowControl w:val="0"/>
        <w:autoSpaceDE w:val="0"/>
        <w:autoSpaceDN w:val="0"/>
        <w:adjustRightInd w:val="0"/>
        <w:spacing w:line="360" w:lineRule="auto"/>
        <w:jc w:val="both"/>
        <w:rPr>
          <w:rFonts w:ascii="Times New Roman" w:hAnsi="Times New Roman" w:cs="Times New Roman"/>
          <w:b/>
          <w:i/>
          <w:color w:val="1A1A1A"/>
          <w:sz w:val="28"/>
          <w:szCs w:val="28"/>
        </w:rPr>
      </w:pPr>
      <w:r w:rsidRPr="00FA1604">
        <w:rPr>
          <w:rFonts w:ascii="Times New Roman" w:hAnsi="Times New Roman" w:cs="Times New Roman"/>
          <w:b/>
          <w:i/>
          <w:iCs/>
          <w:color w:val="1A1A1A"/>
          <w:sz w:val="28"/>
          <w:szCs w:val="28"/>
        </w:rPr>
        <w:t xml:space="preserve">Thứ ba, </w:t>
      </w:r>
      <w:r w:rsidR="00CC7BC2" w:rsidRPr="00FA1604">
        <w:rPr>
          <w:rFonts w:ascii="Times New Roman" w:hAnsi="Times New Roman" w:cs="Times New Roman"/>
          <w:b/>
          <w:i/>
          <w:iCs/>
          <w:color w:val="1A1A1A"/>
          <w:sz w:val="28"/>
          <w:szCs w:val="28"/>
        </w:rPr>
        <w:t>Trường hợp Hợp đồng chưa bao gồm thuế GTGT </w:t>
      </w:r>
    </w:p>
    <w:p w14:paraId="7E641CEA" w14:textId="5236EB45" w:rsidR="00CC7BC2" w:rsidRPr="00FA1604" w:rsidRDefault="00FA1604" w:rsidP="009A4764">
      <w:pPr>
        <w:widowControl w:val="0"/>
        <w:tabs>
          <w:tab w:val="left" w:pos="220"/>
          <w:tab w:val="left" w:pos="720"/>
        </w:tabs>
        <w:autoSpaceDE w:val="0"/>
        <w:autoSpaceDN w:val="0"/>
        <w:adjustRightInd w:val="0"/>
        <w:spacing w:line="360" w:lineRule="auto"/>
        <w:ind w:left="-720"/>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Công nợ và thuế:</w:t>
      </w:r>
    </w:p>
    <w:p w14:paraId="61B64168"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Nợ TK 627, 642 – Giá trị hợp đồng trừ đi thuế GTGT nhà thầu</w:t>
      </w:r>
    </w:p>
    <w:p w14:paraId="27F8220D"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Nợ Tk 811 – Phản ánh thuế TNDN</w:t>
      </w:r>
    </w:p>
    <w:p w14:paraId="753F1C72"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Nợ TK 133 – Phản ánh thuế GTGT được khấu trừ</w:t>
      </w:r>
    </w:p>
    <w:p w14:paraId="11332572" w14:textId="77777777" w:rsidR="00CC7BC2" w:rsidRPr="00FA1604" w:rsidRDefault="00CC7BC2" w:rsidP="00FA1604">
      <w:pPr>
        <w:widowControl w:val="0"/>
        <w:autoSpaceDE w:val="0"/>
        <w:autoSpaceDN w:val="0"/>
        <w:adjustRightInd w:val="0"/>
        <w:spacing w:line="360" w:lineRule="auto"/>
        <w:ind w:left="720"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Có TK 331 – Giá trị hợp đồng trừ đi thuế GTGT nhà thầu</w:t>
      </w:r>
    </w:p>
    <w:p w14:paraId="72304CC5" w14:textId="77777777" w:rsidR="00CC7BC2" w:rsidRPr="00FA1604" w:rsidRDefault="00CC7BC2" w:rsidP="00FA1604">
      <w:pPr>
        <w:widowControl w:val="0"/>
        <w:autoSpaceDE w:val="0"/>
        <w:autoSpaceDN w:val="0"/>
        <w:adjustRightInd w:val="0"/>
        <w:spacing w:line="360" w:lineRule="auto"/>
        <w:ind w:left="720"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Có TK 3338</w:t>
      </w:r>
    </w:p>
    <w:p w14:paraId="41FE10E9" w14:textId="1FEC88F0" w:rsidR="00CC7BC2" w:rsidRPr="00FA1604" w:rsidRDefault="00FA1604" w:rsidP="009A4764">
      <w:pPr>
        <w:widowControl w:val="0"/>
        <w:tabs>
          <w:tab w:val="left" w:pos="220"/>
          <w:tab w:val="left" w:pos="720"/>
        </w:tabs>
        <w:autoSpaceDE w:val="0"/>
        <w:autoSpaceDN w:val="0"/>
        <w:adjustRightInd w:val="0"/>
        <w:spacing w:line="360" w:lineRule="auto"/>
        <w:ind w:left="-720"/>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Sau khi nộp thuế:</w:t>
      </w:r>
    </w:p>
    <w:p w14:paraId="4ADB917C" w14:textId="77777777" w:rsidR="00CC7BC2" w:rsidRPr="00FA1604" w:rsidRDefault="00CC7BC2" w:rsidP="00FA1604">
      <w:pPr>
        <w:widowControl w:val="0"/>
        <w:autoSpaceDE w:val="0"/>
        <w:autoSpaceDN w:val="0"/>
        <w:adjustRightInd w:val="0"/>
        <w:spacing w:line="360" w:lineRule="auto"/>
        <w:ind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Nợ TK 3338</w:t>
      </w:r>
    </w:p>
    <w:p w14:paraId="64692FE4" w14:textId="77777777" w:rsidR="00CC7BC2" w:rsidRPr="00FA1604" w:rsidRDefault="00CC7BC2" w:rsidP="00FA1604">
      <w:pPr>
        <w:widowControl w:val="0"/>
        <w:autoSpaceDE w:val="0"/>
        <w:autoSpaceDN w:val="0"/>
        <w:adjustRightInd w:val="0"/>
        <w:spacing w:line="360" w:lineRule="auto"/>
        <w:ind w:left="720" w:firstLine="720"/>
        <w:jc w:val="both"/>
        <w:rPr>
          <w:rFonts w:ascii="Times New Roman" w:hAnsi="Times New Roman" w:cs="Times New Roman"/>
          <w:color w:val="1A1A1A"/>
          <w:sz w:val="28"/>
          <w:szCs w:val="28"/>
        </w:rPr>
      </w:pPr>
      <w:r w:rsidRPr="00FA1604">
        <w:rPr>
          <w:rFonts w:ascii="Times New Roman" w:hAnsi="Times New Roman" w:cs="Times New Roman"/>
          <w:color w:val="1A1A1A"/>
          <w:sz w:val="28"/>
          <w:szCs w:val="28"/>
        </w:rPr>
        <w:t>Có TK 111,112</w:t>
      </w:r>
    </w:p>
    <w:p w14:paraId="0E24B87D" w14:textId="6BD7C789" w:rsidR="00CC7BC2" w:rsidRPr="00FA1604" w:rsidRDefault="00FA1604" w:rsidP="00FA1604">
      <w:pPr>
        <w:widowControl w:val="0"/>
        <w:tabs>
          <w:tab w:val="left" w:pos="220"/>
          <w:tab w:val="left" w:pos="720"/>
        </w:tabs>
        <w:autoSpaceDE w:val="0"/>
        <w:autoSpaceDN w:val="0"/>
        <w:adjustRightInd w:val="0"/>
        <w:spacing w:line="360" w:lineRule="auto"/>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Pr>
          <w:rFonts w:ascii="Times New Roman" w:hAnsi="Times New Roman" w:cs="Times New Roman"/>
          <w:color w:val="1A1A1A"/>
          <w:sz w:val="28"/>
          <w:szCs w:val="28"/>
        </w:rPr>
        <w:tab/>
      </w:r>
      <w:r w:rsidR="00CC7BC2" w:rsidRPr="00FA1604">
        <w:rPr>
          <w:rFonts w:ascii="Times New Roman" w:hAnsi="Times New Roman" w:cs="Times New Roman"/>
          <w:color w:val="1A1A1A"/>
          <w:sz w:val="28"/>
          <w:szCs w:val="28"/>
        </w:rPr>
        <w:t>Tương tự như các cá nhân, tổ chức trong nước thì cá nhân, tổ chức nước ngoài hay nhà thầu nước ngoài cũng phải đảm bảo thời hạn nộp thuế theo quy định của Pháp luật:</w:t>
      </w:r>
      <w:r w:rsidR="00646285" w:rsidRPr="00FA1604">
        <w:rPr>
          <w:rFonts w:ascii="Times New Roman" w:hAnsi="Times New Roman" w:cs="Times New Roman"/>
          <w:color w:val="1A1A1A"/>
          <w:sz w:val="28"/>
          <w:szCs w:val="28"/>
        </w:rPr>
        <w:t xml:space="preserve"> </w:t>
      </w:r>
      <w:r w:rsidR="00CC7BC2" w:rsidRPr="00FA1604">
        <w:rPr>
          <w:rFonts w:ascii="Times New Roman" w:hAnsi="Times New Roman" w:cs="Times New Roman"/>
          <w:color w:val="1A1A1A"/>
          <w:sz w:val="28"/>
          <w:szCs w:val="28"/>
        </w:rPr>
        <w:t xml:space="preserve">Người nộp thuế có trách nhiệm và nghĩa vụ nộp đầy đủ và đúng thời gian theo quy định.Thời hạn nộp thuế nhà thầu chậm nhất là ngày thứ 10 kể từ ngày phát sinh nghĩa vụ thuế (Căn cứ vào Điểm d Khoản 3 Điều 10 và Khoản 2 Điều 26 của Thông tư 156/2013/TT-BTC). Nếu không nộp thuế đầy đủ và đúng hạn thì nhà thầu nước ngoài cũng phải nộp khoản tiền phạt </w:t>
      </w:r>
      <w:r w:rsidR="00CC7BC2" w:rsidRPr="00FA1604">
        <w:rPr>
          <w:rFonts w:ascii="Times New Roman" w:hAnsi="Times New Roman" w:cs="Times New Roman"/>
          <w:iCs/>
          <w:color w:val="1A1A1A"/>
          <w:sz w:val="28"/>
          <w:szCs w:val="28"/>
        </w:rPr>
        <w:t>“chậm nộp ngân sách nhà nước”</w:t>
      </w:r>
      <w:r w:rsidR="00CC7BC2" w:rsidRPr="00FA1604">
        <w:rPr>
          <w:rFonts w:ascii="Times New Roman" w:hAnsi="Times New Roman" w:cs="Times New Roman"/>
          <w:color w:val="1A1A1A"/>
          <w:sz w:val="28"/>
          <w:szCs w:val="28"/>
        </w:rPr>
        <w:t>. </w:t>
      </w:r>
    </w:p>
    <w:p w14:paraId="6797879D" w14:textId="06E968E2" w:rsidR="00CC7BC2" w:rsidRPr="00FA1604" w:rsidRDefault="00FB1EC6" w:rsidP="009A4764">
      <w:pPr>
        <w:spacing w:line="360" w:lineRule="auto"/>
        <w:jc w:val="both"/>
        <w:rPr>
          <w:rFonts w:ascii="Times New Roman" w:hAnsi="Times New Roman" w:cs="Times New Roman"/>
          <w:b/>
          <w:sz w:val="28"/>
          <w:szCs w:val="28"/>
        </w:rPr>
      </w:pPr>
      <w:r w:rsidRPr="00FA1604">
        <w:rPr>
          <w:rFonts w:ascii="Times New Roman" w:hAnsi="Times New Roman" w:cs="Times New Roman"/>
          <w:b/>
          <w:sz w:val="28"/>
          <w:szCs w:val="28"/>
        </w:rPr>
        <w:t>Tài liệu tham khảo</w:t>
      </w:r>
    </w:p>
    <w:p w14:paraId="43695FF2" w14:textId="528A3CBA" w:rsidR="00FB1EC6" w:rsidRPr="00FA1604" w:rsidRDefault="00FB1EC6" w:rsidP="00FB1EC6">
      <w:pPr>
        <w:pStyle w:val="ListParagraph"/>
        <w:numPr>
          <w:ilvl w:val="0"/>
          <w:numId w:val="29"/>
        </w:numPr>
        <w:spacing w:line="360" w:lineRule="auto"/>
        <w:jc w:val="both"/>
        <w:rPr>
          <w:rFonts w:ascii="Times New Roman" w:hAnsi="Times New Roman" w:cs="Times New Roman"/>
          <w:sz w:val="28"/>
          <w:szCs w:val="28"/>
        </w:rPr>
      </w:pPr>
      <w:r w:rsidRPr="00FA1604">
        <w:rPr>
          <w:rFonts w:ascii="Times New Roman" w:hAnsi="Times New Roman" w:cs="Times New Roman"/>
          <w:color w:val="1A1A1A"/>
          <w:sz w:val="28"/>
          <w:szCs w:val="28"/>
        </w:rPr>
        <w:t>Thông tư 156/2013/TT-BTC</w:t>
      </w:r>
    </w:p>
    <w:p w14:paraId="457C746E" w14:textId="5872636E" w:rsidR="00FB1EC6" w:rsidRPr="00FA1604" w:rsidRDefault="00FB1EC6" w:rsidP="00FB1EC6">
      <w:pPr>
        <w:pStyle w:val="ListParagraph"/>
        <w:numPr>
          <w:ilvl w:val="0"/>
          <w:numId w:val="29"/>
        </w:numPr>
        <w:spacing w:line="360" w:lineRule="auto"/>
        <w:jc w:val="both"/>
        <w:rPr>
          <w:rFonts w:ascii="Times New Roman" w:hAnsi="Times New Roman" w:cs="Times New Roman"/>
          <w:sz w:val="28"/>
          <w:szCs w:val="28"/>
        </w:rPr>
      </w:pPr>
      <w:r w:rsidRPr="00FA1604">
        <w:rPr>
          <w:rFonts w:ascii="Times New Roman" w:hAnsi="Times New Roman" w:cs="Times New Roman"/>
          <w:color w:val="1A1A1A"/>
          <w:sz w:val="28"/>
          <w:szCs w:val="28"/>
        </w:rPr>
        <w:t>Thông tư 103/2014/TT-BTC</w:t>
      </w:r>
    </w:p>
    <w:sectPr w:rsidR="00FB1EC6" w:rsidRPr="00FA1604" w:rsidSect="00CC7BC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1C482438"/>
    <w:multiLevelType w:val="hybridMultilevel"/>
    <w:tmpl w:val="059A2074"/>
    <w:lvl w:ilvl="0" w:tplc="BC58142A">
      <w:start w:val="1"/>
      <w:numFmt w:val="decimal"/>
      <w:lvlText w:val="%1."/>
      <w:lvlJc w:val="left"/>
      <w:pPr>
        <w:ind w:left="720" w:hanging="360"/>
      </w:pPr>
      <w:rPr>
        <w:rFonts w:hint="default"/>
        <w:color w:val="1A1A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C2"/>
    <w:rsid w:val="00527D7C"/>
    <w:rsid w:val="00646285"/>
    <w:rsid w:val="006900A0"/>
    <w:rsid w:val="0096494A"/>
    <w:rsid w:val="009A4119"/>
    <w:rsid w:val="009A4764"/>
    <w:rsid w:val="00A90EBD"/>
    <w:rsid w:val="00C92BF2"/>
    <w:rsid w:val="00CC7BC2"/>
    <w:rsid w:val="00FA1604"/>
    <w:rsid w:val="00FB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10B8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mis.misa.vn/20694/thue-nha-tha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531</Words>
  <Characters>3029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2022-03-17T06:40:00Z</dcterms:created>
  <dcterms:modified xsi:type="dcterms:W3CDTF">2022-03-17T06:56:00Z</dcterms:modified>
</cp:coreProperties>
</file>