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90" w:rsidRDefault="00802890" w:rsidP="00D07B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PHƯƠNG PHÁP TÍNH THUẾ THU NHẬP CÁ NHÂN ĐỐI VỚI CÁ NHÂN KHÔNG CƯ TRÚ</w:t>
      </w:r>
      <w:r w:rsidR="00A32E4D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</w:p>
    <w:p w:rsidR="00A32E4D" w:rsidRPr="00D07B36" w:rsidRDefault="00173154" w:rsidP="00D07B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Quỳnh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Giao</w:t>
      </w:r>
      <w:proofErr w:type="spellEnd"/>
    </w:p>
    <w:p w:rsidR="00802890" w:rsidRPr="00D07B36" w:rsidRDefault="00CC2096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Thuế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cá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nhân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là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một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khoản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đóng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góp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lớn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vào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khoản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ngân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sách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nhà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nước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.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Hiện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tại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nhà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nước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đã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ban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hành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các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quy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định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về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phương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pháp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tính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cá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nhân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.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Tuy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nhiên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có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sự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khác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biệt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về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="00A32E4D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quy</w:t>
      </w:r>
      <w:proofErr w:type="spellEnd"/>
      <w:r w:rsidR="00A32E4D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="00A32E4D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định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tính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cá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nhân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của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cá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nhân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cư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trú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và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cá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nhân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không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cư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trú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.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Bài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viết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tìm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hiểu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về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="00A32E4D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phương</w:t>
      </w:r>
      <w:proofErr w:type="spellEnd"/>
      <w:r w:rsidR="00A32E4D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="00A32E4D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pháp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tính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TNCN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đối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với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cá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nhân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không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cư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trú</w:t>
      </w:r>
      <w:proofErr w:type="spellEnd"/>
      <w:r w:rsidRPr="00D07B36">
        <w:rPr>
          <w:rFonts w:ascii="Times New Roman" w:eastAsia="Times New Roman" w:hAnsi="Times New Roman" w:cs="Times New Roman"/>
          <w:bCs/>
          <w:i/>
          <w:iCs/>
          <w:color w:val="333333"/>
          <w:sz w:val="26"/>
          <w:szCs w:val="26"/>
        </w:rPr>
        <w:t>.</w:t>
      </w:r>
    </w:p>
    <w:p w:rsidR="00802890" w:rsidRPr="00D07B36" w:rsidRDefault="00CC2096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(1)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Phương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pháp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tính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thuế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nhập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cá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nhân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đối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với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nhập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từ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kinh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doanh</w:t>
      </w:r>
      <w:proofErr w:type="spellEnd"/>
    </w:p>
    <w:p w:rsidR="00CC2096" w:rsidRPr="00802890" w:rsidRDefault="00CC2096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Thuế Thu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=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hoạt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*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</w:p>
    <w:p w:rsidR="00802890" w:rsidRPr="00802890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</w:pPr>
      <w:proofErr w:type="spellStart"/>
      <w:r w:rsidRPr="00802890"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  <w:t>Trong</w:t>
      </w:r>
      <w:proofErr w:type="spellEnd"/>
      <w:r w:rsidRPr="00802890"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  <w:t>đó</w:t>
      </w:r>
      <w:proofErr w:type="spellEnd"/>
      <w:r w:rsidRPr="00802890"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  <w:t>:</w:t>
      </w:r>
    </w:p>
    <w:p w:rsidR="00802890" w:rsidRPr="00802890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- Thuế </w:t>
      </w:r>
      <w:proofErr w:type="spellStart"/>
      <w:r w:rsidRPr="00D07B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suất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lĩnh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vực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ngành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nghề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sau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</w:p>
    <w:p w:rsidR="00802890" w:rsidRPr="00802890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+ 1%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hoạt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hàng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hóa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;</w:t>
      </w:r>
    </w:p>
    <w:p w:rsidR="00802890" w:rsidRPr="00802890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+ 5%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hoạt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dịch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vụ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;</w:t>
      </w:r>
    </w:p>
    <w:p w:rsidR="00802890" w:rsidRPr="00D07B36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+ 2%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hoạt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xây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dựng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vận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tải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hoạt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CC2096" w:rsidRPr="00802890" w:rsidRDefault="00CC2096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- </w:t>
      </w:r>
      <w:proofErr w:type="spellStart"/>
      <w:r w:rsidRPr="00D07B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Doanh</w:t>
      </w:r>
      <w:proofErr w:type="spellEnd"/>
      <w:r w:rsidRPr="00D07B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toàn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sinh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cung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ứng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hàng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hóa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dịch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vụ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bao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gồm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cả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phí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do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bên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mua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hàng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hóa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dịch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vụ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trả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thay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mà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hoàn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trả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CC2096" w:rsidRPr="00802890" w:rsidRDefault="00CC2096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Trường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thỏa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thuận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bao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gồm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thì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đổi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toàn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mà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dưới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kỳ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hình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thức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nào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cung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hàng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hóa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dịch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vụ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phụ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thuộc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địa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điểm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tiến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hành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hoạt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802890" w:rsidRPr="00D07B36" w:rsidRDefault="00CC2096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(2)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Phương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pháp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tính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thuế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nhập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cá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nhân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với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nhập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từ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tiền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lương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tiền</w:t>
      </w:r>
      <w:proofErr w:type="spellEnd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="00802890"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công</w:t>
      </w:r>
      <w:proofErr w:type="spellEnd"/>
    </w:p>
    <w:p w:rsidR="00410E7C" w:rsidRPr="00802890" w:rsidRDefault="00410E7C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Thuế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cá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proofErr w:type="gram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nhân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 =</w:t>
      </w:r>
      <w:proofErr w:type="gram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Thu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chịu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từ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tiền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lương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,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tiền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công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* Thuế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suất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20%</w:t>
      </w:r>
    </w:p>
    <w:p w:rsidR="00802890" w:rsidRPr="00802890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802890"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  <w:t>Trong</w:t>
      </w:r>
      <w:proofErr w:type="spellEnd"/>
      <w:r w:rsidRPr="00802890"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  <w:t>đó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Thu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lương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tổng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lương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mà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do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phân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biệt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trả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802890" w:rsidRPr="00D07B36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lastRenderedPageBreak/>
        <w:t xml:space="preserve">(3)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Cách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tính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cá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nhân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với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từ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đầu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tư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vốn</w:t>
      </w:r>
      <w:proofErr w:type="spellEnd"/>
    </w:p>
    <w:p w:rsidR="00410E7C" w:rsidRPr="00D07B36" w:rsidRDefault="00410E7C" w:rsidP="00D07B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Thuế TNCN       </w:t>
      </w:r>
      <w:r w:rsidRPr="00D07B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=</w:t>
      </w: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 xml:space="preserve">       Thu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</w:t>
      </w:r>
      <w:r w:rsidRPr="00D07B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*</w:t>
      </w: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Thuế</w:t>
      </w:r>
    </w:p>
    <w:p w:rsidR="00410E7C" w:rsidRPr="00D07B36" w:rsidRDefault="00410E7C" w:rsidP="00D07B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nộp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        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</w:t>
      </w:r>
      <w:proofErr w:type="spellStart"/>
      <w:proofErr w:type="gram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(</w:t>
      </w:r>
      <w:proofErr w:type="gram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5%)</w:t>
      </w:r>
    </w:p>
    <w:p w:rsidR="00802890" w:rsidRPr="00D07B36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Thuế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đầu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vốn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xác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tổng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mà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đầu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vốn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tổ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chức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5%.</w:t>
      </w:r>
    </w:p>
    <w:p w:rsidR="00410E7C" w:rsidRPr="00D07B36" w:rsidRDefault="00410E7C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Thu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là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khoản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nhập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nhận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được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̀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hoạt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động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sơ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̉ SXKD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vay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mua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cô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̉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phần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hoặc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góp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vốn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SXKD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dưới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các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hình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thức</w:t>
      </w:r>
      <w:proofErr w:type="spellEnd"/>
    </w:p>
    <w:p w:rsidR="00802890" w:rsidRPr="00D07B36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(4)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Cách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tính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cá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nhân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với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từ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chuyển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nhượng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vốn</w:t>
      </w:r>
      <w:proofErr w:type="spellEnd"/>
    </w:p>
    <w:p w:rsidR="00410E7C" w:rsidRPr="00D07B36" w:rsidRDefault="00410E7C" w:rsidP="00D07B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Thuế TNCN    </w:t>
      </w:r>
      <w:r w:rsidRPr="00D07B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=</w:t>
      </w: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Thu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</w:t>
      </w:r>
      <w:r w:rsidRPr="00D07B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*</w:t>
      </w: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Thuế</w:t>
      </w:r>
    </w:p>
    <w:p w:rsidR="00410E7C" w:rsidRPr="00D07B36" w:rsidRDefault="00410E7C" w:rsidP="00D07B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nộp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</w:t>
      </w:r>
      <w:proofErr w:type="spellStart"/>
      <w:proofErr w:type="gram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(</w:t>
      </w:r>
      <w:proofErr w:type="gram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0,1%)</w:t>
      </w:r>
    </w:p>
    <w:p w:rsidR="00802890" w:rsidRPr="00D07B36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Thuế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nhượng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vốn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xác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tổng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mà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nhượng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phần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vốn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tổ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chức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0,1%,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phân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biệt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nhượng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 hay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ngoài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410E7C" w:rsidRPr="00D07B36" w:rsidRDefault="00410E7C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Thu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tổng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nhận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nhượng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phần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vốn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 (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chưa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trừ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kỳ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phí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nào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kể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cả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giá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vốn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),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phân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biệt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nhượng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 hay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ngoài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802890" w:rsidRPr="00D07B36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(5)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Cách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tính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cá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nhân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từ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chuyển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nhượng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bất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động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Cs/>
          <w:color w:val="333333"/>
          <w:sz w:val="26"/>
          <w:szCs w:val="26"/>
        </w:rPr>
        <w:t>sản</w:t>
      </w:r>
      <w:proofErr w:type="spellEnd"/>
    </w:p>
    <w:p w:rsidR="00410E7C" w:rsidRPr="00D07B36" w:rsidRDefault="00410E7C" w:rsidP="00D07B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Thuế TNCN      =          Thu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</w:t>
      </w:r>
      <w:r w:rsidRPr="00D07B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*</w:t>
      </w: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Thuế</w:t>
      </w:r>
    </w:p>
    <w:p w:rsidR="00410E7C" w:rsidRPr="00D07B36" w:rsidRDefault="00410E7C" w:rsidP="00D07B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nộp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        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</w:t>
      </w:r>
      <w:proofErr w:type="spellStart"/>
      <w:proofErr w:type="gram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(</w:t>
      </w:r>
      <w:proofErr w:type="gram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2%)</w:t>
      </w:r>
    </w:p>
    <w:p w:rsidR="00802890" w:rsidRPr="00D07B36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Thuế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nhượng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xác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giá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nhượng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2%.</w:t>
      </w:r>
    </w:p>
    <w:p w:rsidR="00410E7C" w:rsidRPr="00D07B36" w:rsidRDefault="00410E7C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Thu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toàn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nhận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nhượng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chưa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trừ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kỳ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phí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nào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kể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cả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giá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vốn</w:t>
      </w:r>
      <w:proofErr w:type="spellEnd"/>
    </w:p>
    <w:p w:rsidR="00802890" w:rsidRPr="00D07B36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(6)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Cách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tính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cá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nhân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với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từ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bản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quyền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,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nhượng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quyền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thương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mại</w:t>
      </w:r>
      <w:proofErr w:type="spellEnd"/>
    </w:p>
    <w:p w:rsidR="00410E7C" w:rsidRPr="00D07B36" w:rsidRDefault="00410E7C" w:rsidP="00D07B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Thuế TNCN       </w:t>
      </w:r>
      <w:r w:rsidRPr="00D07B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=</w:t>
      </w: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ab/>
        <w:t xml:space="preserve">      Thu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</w:t>
      </w:r>
      <w:r w:rsidRPr="00D07B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*</w:t>
      </w: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Thuế</w:t>
      </w:r>
    </w:p>
    <w:p w:rsidR="00410E7C" w:rsidRPr="00D07B36" w:rsidRDefault="00410E7C" w:rsidP="00D07B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nộp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        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</w:t>
      </w:r>
      <w:proofErr w:type="spellStart"/>
      <w:proofErr w:type="gram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(</w:t>
      </w:r>
      <w:proofErr w:type="gram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5%)</w:t>
      </w:r>
    </w:p>
    <w:p w:rsidR="00802890" w:rsidRPr="00802890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 xml:space="preserve">- Thuế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xác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phần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vượt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triệu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giao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sử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tượng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hữu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trí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tuệ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giao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nghệ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5%.</w:t>
      </w:r>
    </w:p>
    <w:p w:rsidR="00802890" w:rsidRPr="00802890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- Thuế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nhượng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thương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mại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xác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phần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vượt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triệu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nhượng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thương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mại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5%.</w:t>
      </w:r>
    </w:p>
    <w:p w:rsidR="00802890" w:rsidRPr="00D07B36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(7)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Cách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tính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cá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nhân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với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thu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từ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trúng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thưởng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,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thừa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kế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,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quà</w:t>
      </w:r>
      <w:proofErr w:type="spellEnd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</w:rPr>
        <w:t>tặng</w:t>
      </w:r>
      <w:proofErr w:type="spellEnd"/>
    </w:p>
    <w:p w:rsidR="00410E7C" w:rsidRPr="00D07B36" w:rsidRDefault="00410E7C" w:rsidP="00D07B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Thuế TNCN       </w:t>
      </w:r>
      <w:r w:rsidRPr="00D07B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=</w:t>
      </w: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Thu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</w:t>
      </w:r>
      <w:r w:rsidRPr="00D07B3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*</w:t>
      </w: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Thuế</w:t>
      </w:r>
    </w:p>
    <w:p w:rsidR="00410E7C" w:rsidRPr="00D07B36" w:rsidRDefault="00410E7C" w:rsidP="00D07B3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nộp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        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        </w:t>
      </w:r>
      <w:proofErr w:type="spellStart"/>
      <w:proofErr w:type="gramStart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 (</w:t>
      </w:r>
      <w:proofErr w:type="gramEnd"/>
      <w:r w:rsidRPr="00D07B36">
        <w:rPr>
          <w:rFonts w:ascii="Times New Roman" w:eastAsia="Times New Roman" w:hAnsi="Times New Roman" w:cs="Times New Roman"/>
          <w:color w:val="333333"/>
          <w:sz w:val="26"/>
          <w:szCs w:val="26"/>
        </w:rPr>
        <w:t>10%)</w:t>
      </w:r>
    </w:p>
    <w:p w:rsidR="00802890" w:rsidRPr="00802890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- Thuế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thưởng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thừa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kế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quà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tặng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xác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khoản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2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này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10%.</w:t>
      </w:r>
    </w:p>
    <w:p w:rsidR="00802890" w:rsidRPr="00802890" w:rsidRDefault="00802890" w:rsidP="00D07B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- Thu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thuế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thưởng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phần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giá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trị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thưởng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vượt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triệu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lần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thưởng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Nam;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thừa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kế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quà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tặng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phần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giá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trị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tài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thừa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kế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quà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tặng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vượt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10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triệu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từng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lần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sinh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thu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nhập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mà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trú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nhận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802890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Nam.</w:t>
      </w:r>
    </w:p>
    <w:p w:rsidR="00C8678B" w:rsidRPr="00D07B36" w:rsidRDefault="00410E7C" w:rsidP="00D07B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7B36">
        <w:rPr>
          <w:rFonts w:ascii="Times New Roman" w:hAnsi="Times New Roman" w:cs="Times New Roman"/>
          <w:sz w:val="26"/>
          <w:szCs w:val="26"/>
        </w:rPr>
        <w:t>TÀI LIỆU THAM KHẢO</w:t>
      </w:r>
    </w:p>
    <w:p w:rsidR="00410E7C" w:rsidRPr="00410E7C" w:rsidRDefault="00410E7C" w:rsidP="00D07B3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Thuế TNCN </w:t>
      </w:r>
      <w:r w:rsidR="00D07B36" w:rsidRPr="00D07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04/2007/QH12</w:t>
      </w:r>
    </w:p>
    <w:p w:rsidR="00410E7C" w:rsidRPr="00410E7C" w:rsidRDefault="00410E7C" w:rsidP="00D07B3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07B36" w:rsidRPr="00D07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26/2012/Q</w:t>
      </w:r>
      <w:r w:rsidR="00D07B36" w:rsidRPr="00D07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</w:t>
      </w:r>
      <w:r w:rsidR="00D07B36" w:rsidRPr="00D07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13</w:t>
      </w:r>
      <w:r w:rsidR="00D07B36" w:rsidRPr="00D07B3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sửa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bổ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sung </w:t>
      </w: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2012</w:t>
      </w:r>
      <w:r w:rsidR="00D07B36" w:rsidRPr="00D07B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10E7C" w:rsidRPr="00410E7C" w:rsidRDefault="00410E7C" w:rsidP="00D07B3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111/2013/TT-BTC</w:t>
      </w:r>
    </w:p>
    <w:p w:rsidR="00410E7C" w:rsidRPr="00410E7C" w:rsidRDefault="00410E7C" w:rsidP="00D07B3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410E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954/2020/UBTVQH14</w:t>
      </w:r>
    </w:p>
    <w:p w:rsidR="00410E7C" w:rsidRPr="00D07B36" w:rsidRDefault="00410E7C" w:rsidP="00D07B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10E7C" w:rsidRPr="00D07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F3F3E"/>
    <w:multiLevelType w:val="multilevel"/>
    <w:tmpl w:val="D698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90"/>
    <w:rsid w:val="00173154"/>
    <w:rsid w:val="00410E7C"/>
    <w:rsid w:val="007901CA"/>
    <w:rsid w:val="00802890"/>
    <w:rsid w:val="00944F8B"/>
    <w:rsid w:val="00A32E4D"/>
    <w:rsid w:val="00CC2096"/>
    <w:rsid w:val="00D0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5F43C"/>
  <w15:chartTrackingRefBased/>
  <w15:docId w15:val="{7C8400E0-C855-46B4-A95A-0976DA3E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2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289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028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2890"/>
    <w:rPr>
      <w:i/>
      <w:iCs/>
    </w:rPr>
  </w:style>
  <w:style w:type="paragraph" w:styleId="ListParagraph">
    <w:name w:val="List Paragraph"/>
    <w:basedOn w:val="Normal"/>
    <w:uiPriority w:val="34"/>
    <w:qFormat/>
    <w:rsid w:val="00CC2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2022-12-15T01:43:00Z</dcterms:created>
  <dcterms:modified xsi:type="dcterms:W3CDTF">2022-12-15T02:51:00Z</dcterms:modified>
</cp:coreProperties>
</file>