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6C9A9" w14:textId="77777777" w:rsidR="00144BD4" w:rsidRDefault="00144BD4" w:rsidP="00D76A33">
      <w:pPr>
        <w:shd w:val="clear" w:color="auto" w:fill="FFFFFF"/>
        <w:spacing w:after="100" w:afterAutospacing="1" w:line="300" w:lineRule="atLeast"/>
        <w:jc w:val="center"/>
        <w:outlineLvl w:val="0"/>
        <w:rPr>
          <w:rFonts w:ascii="Times New Roman" w:eastAsia="Times New Roman" w:hAnsi="Times New Roman" w:cs="Times New Roman"/>
          <w:b/>
          <w:bCs/>
          <w:color w:val="212529"/>
          <w:spacing w:val="2"/>
          <w:kern w:val="36"/>
          <w:sz w:val="26"/>
          <w:szCs w:val="26"/>
          <w14:ligatures w14:val="none"/>
        </w:rPr>
      </w:pPr>
      <w:r w:rsidRPr="00144BD4">
        <w:rPr>
          <w:rFonts w:ascii="Times New Roman" w:eastAsia="Times New Roman" w:hAnsi="Times New Roman" w:cs="Times New Roman"/>
          <w:b/>
          <w:bCs/>
          <w:color w:val="212529"/>
          <w:spacing w:val="2"/>
          <w:kern w:val="36"/>
          <w:sz w:val="26"/>
          <w:szCs w:val="26"/>
          <w14:ligatures w14:val="none"/>
        </w:rPr>
        <w:t>Hướng dẫn cách tính thuế TNCN 2024 từ tiền lương, tiền công</w:t>
      </w:r>
    </w:p>
    <w:p w14:paraId="51E698D1" w14:textId="4BF7C039" w:rsidR="00F62CC9" w:rsidRPr="00144BD4" w:rsidRDefault="00F62CC9" w:rsidP="00F62CC9">
      <w:pPr>
        <w:shd w:val="clear" w:color="auto" w:fill="FFFFFF"/>
        <w:spacing w:after="100" w:afterAutospacing="1" w:line="300" w:lineRule="atLeast"/>
        <w:ind w:left="1440" w:firstLine="720"/>
        <w:jc w:val="center"/>
        <w:outlineLvl w:val="0"/>
        <w:rPr>
          <w:rFonts w:ascii="Times New Roman" w:eastAsia="Times New Roman" w:hAnsi="Times New Roman" w:cs="Times New Roman"/>
          <w:b/>
          <w:bCs/>
          <w:color w:val="212529"/>
          <w:spacing w:val="2"/>
          <w:kern w:val="36"/>
          <w:sz w:val="26"/>
          <w:szCs w:val="26"/>
          <w14:ligatures w14:val="none"/>
        </w:rPr>
      </w:pPr>
      <w:r>
        <w:rPr>
          <w:rFonts w:ascii="Times New Roman" w:eastAsia="Times New Roman" w:hAnsi="Times New Roman" w:cs="Times New Roman"/>
          <w:b/>
          <w:bCs/>
          <w:color w:val="212529"/>
          <w:spacing w:val="2"/>
          <w:kern w:val="36"/>
          <w:sz w:val="26"/>
          <w:szCs w:val="26"/>
          <w14:ligatures w14:val="none"/>
        </w:rPr>
        <w:t>Mai Thị Quỳnh Như- Khoa Kế toán</w:t>
      </w:r>
    </w:p>
    <w:p w14:paraId="4E365219" w14:textId="77777777" w:rsidR="00144BD4" w:rsidRPr="00D76A33" w:rsidRDefault="00144BD4" w:rsidP="00144BD4">
      <w:pPr>
        <w:pStyle w:val="Heading2"/>
        <w:shd w:val="clear" w:color="auto" w:fill="FFFFFF"/>
        <w:spacing w:before="0" w:line="300" w:lineRule="atLeast"/>
        <w:jc w:val="both"/>
        <w:rPr>
          <w:rFonts w:ascii="Times New Roman" w:hAnsi="Times New Roman" w:cs="Times New Roman"/>
          <w:color w:val="212529"/>
          <w:spacing w:val="2"/>
        </w:rPr>
      </w:pPr>
      <w:r w:rsidRPr="00D76A33">
        <w:rPr>
          <w:rStyle w:val="Strong"/>
          <w:rFonts w:ascii="Times New Roman" w:hAnsi="Times New Roman" w:cs="Times New Roman"/>
          <w:color w:val="000000"/>
          <w:spacing w:val="2"/>
          <w:shd w:val="clear" w:color="auto" w:fill="FFFFFF"/>
        </w:rPr>
        <w:t>1. Đối tượng phải nộp thuế TNCN 2024</w:t>
      </w:r>
    </w:p>
    <w:p w14:paraId="14F86552"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color w:val="000000"/>
          <w:spacing w:val="2"/>
          <w:sz w:val="26"/>
          <w:szCs w:val="26"/>
          <w:shd w:val="clear" w:color="auto" w:fill="FFFFFF"/>
        </w:rPr>
        <w:t>Đối tượng phải nộp thuế thu nhập cá nhân (TNCN) trong năm 2024 được quy định tại Điều 2 </w:t>
      </w:r>
      <w:hyperlink r:id="rId4" w:tgtFrame="_blank" w:history="1">
        <w:r w:rsidRPr="00144BD4">
          <w:rPr>
            <w:rStyle w:val="Hyperlink"/>
            <w:color w:val="00B1E1"/>
            <w:spacing w:val="2"/>
            <w:sz w:val="26"/>
            <w:szCs w:val="26"/>
            <w:u w:val="none"/>
          </w:rPr>
          <w:t>Luật Thuế thu nhập cá nhân 2007</w:t>
        </w:r>
      </w:hyperlink>
      <w:r w:rsidRPr="00144BD4">
        <w:rPr>
          <w:color w:val="212529"/>
          <w:spacing w:val="2"/>
          <w:sz w:val="26"/>
          <w:szCs w:val="26"/>
          <w:shd w:val="clear" w:color="auto" w:fill="FFFFFF"/>
        </w:rPr>
        <w:t>, cụ thể </w:t>
      </w:r>
      <w:r w:rsidRPr="00144BD4">
        <w:rPr>
          <w:color w:val="000000"/>
          <w:spacing w:val="2"/>
          <w:sz w:val="26"/>
          <w:szCs w:val="26"/>
          <w:shd w:val="clear" w:color="auto" w:fill="FFFFFF"/>
        </w:rPr>
        <w:t>bao gồm 02 nhóm đối tượng sau:</w:t>
      </w:r>
    </w:p>
    <w:p w14:paraId="1853C545"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color w:val="212529"/>
          <w:spacing w:val="2"/>
          <w:sz w:val="26"/>
          <w:szCs w:val="26"/>
          <w:shd w:val="clear" w:color="auto" w:fill="FFFFFF"/>
        </w:rPr>
        <w:t>(i) </w:t>
      </w:r>
      <w:r w:rsidRPr="00144BD4">
        <w:rPr>
          <w:color w:val="000000"/>
          <w:spacing w:val="2"/>
          <w:sz w:val="26"/>
          <w:szCs w:val="26"/>
          <w:shd w:val="clear" w:color="auto" w:fill="FFFFFF"/>
        </w:rPr>
        <w:t>Cá nhân cư trú có thu nhập chịu thuế TNCN phát sinh trong và ngoài lãnh thổ Việt Nam.</w:t>
      </w:r>
    </w:p>
    <w:p w14:paraId="60C3B0AC"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color w:val="212529"/>
          <w:spacing w:val="2"/>
          <w:sz w:val="26"/>
          <w:szCs w:val="26"/>
          <w:shd w:val="clear" w:color="auto" w:fill="FFFFFF"/>
        </w:rPr>
        <w:t>Cá nhân cư trú là người đáp ứng một trong các điều kiện sau đây:</w:t>
      </w:r>
    </w:p>
    <w:p w14:paraId="4E5D90B3"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color w:val="212529"/>
          <w:spacing w:val="2"/>
          <w:sz w:val="26"/>
          <w:szCs w:val="26"/>
          <w:shd w:val="clear" w:color="auto" w:fill="FFFFFF"/>
        </w:rPr>
        <w:t>- Có mặt tại Việt Nam từ 183 ngày trở lên tính trong một năm dương lịch hoặc tính theo 12 tháng liên tục kể từ ngày đầu tiên có mặt tại Việt Nam;</w:t>
      </w:r>
    </w:p>
    <w:p w14:paraId="7684F12D"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color w:val="212529"/>
          <w:spacing w:val="2"/>
          <w:sz w:val="26"/>
          <w:szCs w:val="26"/>
          <w:shd w:val="clear" w:color="auto" w:fill="FFFFFF"/>
        </w:rPr>
        <w:t>- Có nơi ở thường xuyên tại Việt Nam, bao gồm có nơi ở đăng ký thường trú hoặc có nhà thuê để ở tại Việt Nam theo hợp đồng thuê có thời hạn.</w:t>
      </w:r>
    </w:p>
    <w:p w14:paraId="6525367E"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color w:val="000000"/>
          <w:spacing w:val="2"/>
          <w:sz w:val="26"/>
          <w:szCs w:val="26"/>
          <w:shd w:val="clear" w:color="auto" w:fill="FFFFFF"/>
        </w:rPr>
        <w:t>(ii) Cá nhân không cư trú có thu nhập chịu thuế TNCN phát sinh trong lãnh thổ Việt Nam.</w:t>
      </w:r>
    </w:p>
    <w:p w14:paraId="5FA87662"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color w:val="212529"/>
          <w:spacing w:val="2"/>
          <w:sz w:val="26"/>
          <w:szCs w:val="26"/>
          <w:shd w:val="clear" w:color="auto" w:fill="FFFFFF"/>
        </w:rPr>
        <w:t>Cá nhân không cư trú là người không đáp ứng điều kiện nêu tại đoạn (i) bên trên.</w:t>
      </w:r>
    </w:p>
    <w:p w14:paraId="1D06E844" w14:textId="77777777" w:rsidR="00144BD4" w:rsidRPr="00144BD4" w:rsidRDefault="00144BD4" w:rsidP="00144BD4">
      <w:pPr>
        <w:pStyle w:val="Heading2"/>
        <w:shd w:val="clear" w:color="auto" w:fill="FFFFFF"/>
        <w:spacing w:before="0" w:line="300" w:lineRule="atLeast"/>
        <w:jc w:val="both"/>
        <w:rPr>
          <w:rFonts w:ascii="Times New Roman" w:hAnsi="Times New Roman" w:cs="Times New Roman"/>
          <w:color w:val="212529"/>
          <w:spacing w:val="2"/>
        </w:rPr>
      </w:pPr>
      <w:r w:rsidRPr="00144BD4">
        <w:rPr>
          <w:rStyle w:val="Strong"/>
          <w:rFonts w:ascii="Times New Roman" w:hAnsi="Times New Roman" w:cs="Times New Roman"/>
          <w:b w:val="0"/>
          <w:bCs w:val="0"/>
          <w:color w:val="212529"/>
          <w:spacing w:val="2"/>
        </w:rPr>
        <w:t>2. Hướng dẫn cách tính TNCN 2024 từ tiền lương, tiền công</w:t>
      </w:r>
    </w:p>
    <w:p w14:paraId="2D094D4C"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color w:val="000000"/>
          <w:spacing w:val="2"/>
          <w:sz w:val="26"/>
          <w:szCs w:val="26"/>
          <w:shd w:val="clear" w:color="auto" w:fill="FFFFFF"/>
        </w:rPr>
        <w:t>Thuế TNCN 2024 từ tiền lương, tiền công giữa cá nhân cư trú với cá nhân không cư trú có một số khác biệt trong cách tính, cụ thể:</w:t>
      </w:r>
    </w:p>
    <w:p w14:paraId="58E73938" w14:textId="77777777" w:rsidR="00144BD4" w:rsidRPr="00144BD4" w:rsidRDefault="00144BD4" w:rsidP="00144BD4">
      <w:pPr>
        <w:pStyle w:val="Heading3"/>
        <w:shd w:val="clear" w:color="auto" w:fill="FFFFFF"/>
        <w:spacing w:before="0" w:line="300" w:lineRule="atLeast"/>
        <w:jc w:val="both"/>
        <w:rPr>
          <w:rFonts w:ascii="Times New Roman" w:hAnsi="Times New Roman" w:cs="Times New Roman"/>
          <w:color w:val="212529"/>
          <w:spacing w:val="2"/>
          <w:sz w:val="26"/>
          <w:szCs w:val="26"/>
        </w:rPr>
      </w:pPr>
      <w:r w:rsidRPr="00144BD4">
        <w:rPr>
          <w:rStyle w:val="Strong"/>
          <w:rFonts w:ascii="Times New Roman" w:hAnsi="Times New Roman" w:cs="Times New Roman"/>
          <w:b w:val="0"/>
          <w:bCs w:val="0"/>
          <w:color w:val="000000"/>
          <w:spacing w:val="2"/>
          <w:sz w:val="26"/>
          <w:szCs w:val="26"/>
          <w:shd w:val="clear" w:color="auto" w:fill="FFFFFF"/>
        </w:rPr>
        <w:t>2.1. Đối với cá nhân cư trú</w:t>
      </w:r>
    </w:p>
    <w:p w14:paraId="398B06AA"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rStyle w:val="Strong"/>
          <w:color w:val="000000"/>
          <w:spacing w:val="2"/>
          <w:sz w:val="26"/>
          <w:szCs w:val="26"/>
          <w:u w:val="single"/>
          <w:shd w:val="clear" w:color="auto" w:fill="FFFFFF"/>
        </w:rPr>
        <w:t>Trường hợp 1:</w:t>
      </w:r>
      <w:r w:rsidRPr="00144BD4">
        <w:rPr>
          <w:color w:val="000000"/>
          <w:spacing w:val="2"/>
          <w:sz w:val="26"/>
          <w:szCs w:val="26"/>
          <w:shd w:val="clear" w:color="auto" w:fill="FFFFFF"/>
        </w:rPr>
        <w:t> Cá nhân cư trú ký hợp đồng lao động từ 03 tháng trở lên</w:t>
      </w:r>
    </w:p>
    <w:p w14:paraId="258B8220"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color w:val="000000"/>
          <w:spacing w:val="2"/>
          <w:sz w:val="26"/>
          <w:szCs w:val="26"/>
          <w:shd w:val="clear" w:color="auto" w:fill="FFFFFF"/>
        </w:rPr>
        <w:t>Theo quy định tại Điều 2, 3, 7, 8 </w:t>
      </w:r>
      <w:hyperlink r:id="rId5" w:tgtFrame="_blank" w:history="1">
        <w:r w:rsidRPr="00144BD4">
          <w:rPr>
            <w:rStyle w:val="Hyperlink"/>
            <w:rFonts w:eastAsiaTheme="majorEastAsia"/>
            <w:color w:val="00B1E1"/>
            <w:spacing w:val="2"/>
            <w:sz w:val="26"/>
            <w:szCs w:val="26"/>
          </w:rPr>
          <w:t>Thông tư 111/2013/TT-BTC</w:t>
        </w:r>
      </w:hyperlink>
      <w:r w:rsidRPr="00144BD4">
        <w:rPr>
          <w:color w:val="212529"/>
          <w:spacing w:val="2"/>
          <w:sz w:val="26"/>
          <w:szCs w:val="26"/>
          <w:shd w:val="clear" w:color="auto" w:fill="FFFFFF"/>
        </w:rPr>
        <w:t>,</w:t>
      </w:r>
      <w:r w:rsidRPr="00144BD4">
        <w:rPr>
          <w:color w:val="000000"/>
          <w:spacing w:val="2"/>
          <w:sz w:val="26"/>
          <w:szCs w:val="26"/>
          <w:shd w:val="clear" w:color="auto" w:fill="FFFFFF"/>
        </w:rPr>
        <w:t> thuế TNCN từ tiền lương, tiền công của cá nhân cư trú được xác định theo công thức sau:</w:t>
      </w:r>
    </w:p>
    <w:tbl>
      <w:tblPr>
        <w:tblW w:w="0" w:type="auto"/>
        <w:jc w:val="center"/>
        <w:tblCellMar>
          <w:top w:w="75" w:type="dxa"/>
          <w:left w:w="75" w:type="dxa"/>
          <w:bottom w:w="75" w:type="dxa"/>
          <w:right w:w="75" w:type="dxa"/>
        </w:tblCellMar>
        <w:tblLook w:val="04A0" w:firstRow="1" w:lastRow="0" w:firstColumn="1" w:lastColumn="0" w:noHBand="0" w:noVBand="1"/>
      </w:tblPr>
      <w:tblGrid>
        <w:gridCol w:w="2655"/>
        <w:gridCol w:w="570"/>
        <w:gridCol w:w="2520"/>
        <w:gridCol w:w="1020"/>
        <w:gridCol w:w="1275"/>
      </w:tblGrid>
      <w:tr w:rsidR="00144BD4" w:rsidRPr="00144BD4" w14:paraId="4F867D87" w14:textId="77777777" w:rsidTr="00144BD4">
        <w:trPr>
          <w:jc w:val="center"/>
        </w:trPr>
        <w:tc>
          <w:tcPr>
            <w:tcW w:w="2655" w:type="dxa"/>
            <w:vAlign w:val="center"/>
            <w:hideMark/>
          </w:tcPr>
          <w:p w14:paraId="740BBB59"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Thuế TNCN từ tiền lương, tiền công</w:t>
            </w:r>
          </w:p>
        </w:tc>
        <w:tc>
          <w:tcPr>
            <w:tcW w:w="570" w:type="dxa"/>
            <w:vAlign w:val="center"/>
            <w:hideMark/>
          </w:tcPr>
          <w:p w14:paraId="011F283E"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w:t>
            </w:r>
          </w:p>
        </w:tc>
        <w:tc>
          <w:tcPr>
            <w:tcW w:w="2520" w:type="dxa"/>
            <w:vAlign w:val="center"/>
            <w:hideMark/>
          </w:tcPr>
          <w:p w14:paraId="23577D03"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Thu nhập tính thuế từ tiền lương, tiền công</w:t>
            </w:r>
          </w:p>
        </w:tc>
        <w:tc>
          <w:tcPr>
            <w:tcW w:w="1020" w:type="dxa"/>
            <w:vAlign w:val="center"/>
            <w:hideMark/>
          </w:tcPr>
          <w:p w14:paraId="6E638F31"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x</w:t>
            </w:r>
          </w:p>
        </w:tc>
        <w:tc>
          <w:tcPr>
            <w:tcW w:w="1275" w:type="dxa"/>
            <w:vAlign w:val="center"/>
            <w:hideMark/>
          </w:tcPr>
          <w:p w14:paraId="7C792B7E"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shd w:val="clear" w:color="auto" w:fill="FFFFFF"/>
              </w:rPr>
              <w:t>Thuế suất</w:t>
            </w:r>
          </w:p>
        </w:tc>
      </w:tr>
    </w:tbl>
    <w:p w14:paraId="758A8E83"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rStyle w:val="Strong"/>
          <w:color w:val="000000"/>
          <w:spacing w:val="2"/>
          <w:sz w:val="26"/>
          <w:szCs w:val="26"/>
          <w:shd w:val="clear" w:color="auto" w:fill="FFFFFF"/>
        </w:rPr>
        <w:t>Trong đó:</w:t>
      </w:r>
    </w:p>
    <w:p w14:paraId="5F8A3C10"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rStyle w:val="Emphasis"/>
          <w:color w:val="000000"/>
          <w:spacing w:val="2"/>
          <w:sz w:val="26"/>
          <w:szCs w:val="26"/>
          <w:shd w:val="clear" w:color="auto" w:fill="FFFFFF"/>
        </w:rPr>
        <w:t>(i) Thu nhập tính thuế từ tiền lương, tiền công được xác định bằng thu nhập chịu thuế từ tiền lương, tiền công trừ đi (-) các khoản giảm trừ</w:t>
      </w:r>
    </w:p>
    <w:p w14:paraId="552F110C"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color w:val="000000"/>
          <w:spacing w:val="2"/>
          <w:sz w:val="26"/>
          <w:szCs w:val="26"/>
        </w:rPr>
        <w:t>- Thu nhập chịu thuế từ tiền lương, tiền công: được xác định bằng tổng số tiền lương, tiền công, tiền thù lao, các khoản thu nhập khác có tính chất tiền lương, tiền công mà người nộp thuế nhận được trong kỳ tính thuế (</w:t>
      </w:r>
      <w:r w:rsidRPr="00144BD4">
        <w:rPr>
          <w:rStyle w:val="Strong"/>
          <w:color w:val="000000"/>
          <w:spacing w:val="2"/>
          <w:sz w:val="26"/>
          <w:szCs w:val="26"/>
        </w:rPr>
        <w:t>xem chi tiết </w:t>
      </w:r>
      <w:hyperlink r:id="rId6" w:tgtFrame="_blank" w:history="1">
        <w:r w:rsidRPr="00144BD4">
          <w:rPr>
            <w:rStyle w:val="Hyperlink"/>
            <w:rFonts w:eastAsiaTheme="majorEastAsia"/>
            <w:b/>
            <w:bCs/>
            <w:color w:val="00B1E1"/>
            <w:spacing w:val="2"/>
            <w:sz w:val="26"/>
            <w:szCs w:val="26"/>
          </w:rPr>
          <w:t>TẠI ĐÂY</w:t>
        </w:r>
      </w:hyperlink>
      <w:r w:rsidRPr="00144BD4">
        <w:rPr>
          <w:color w:val="000000"/>
          <w:spacing w:val="2"/>
          <w:sz w:val="26"/>
          <w:szCs w:val="26"/>
        </w:rPr>
        <w:t>).</w:t>
      </w:r>
    </w:p>
    <w:p w14:paraId="09ADCE08"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color w:val="000000"/>
          <w:spacing w:val="2"/>
          <w:sz w:val="26"/>
          <w:szCs w:val="26"/>
        </w:rPr>
        <w:t>Đồng thời thu nhập chịu thuế từ tiền lương, tiền công sẽ không bao gồm những thu nhập được miễn thuế sau đây:</w:t>
      </w:r>
    </w:p>
    <w:p w14:paraId="6BC5C61F"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color w:val="000000"/>
          <w:spacing w:val="2"/>
          <w:sz w:val="26"/>
          <w:szCs w:val="26"/>
        </w:rPr>
        <w:lastRenderedPageBreak/>
        <w:t>+ Thu nhập từ phần tiền lương, tiền công làm việc ban đêm, làm thêm giờ được trả cao hơn so với tiền lương, tiền công làm việc ban ngày, làm việc trong giờ theo quy định của </w:t>
      </w:r>
      <w:hyperlink r:id="rId7" w:tgtFrame="_blank" w:history="1">
        <w:r w:rsidRPr="00144BD4">
          <w:rPr>
            <w:rStyle w:val="Hyperlink"/>
            <w:rFonts w:eastAsiaTheme="majorEastAsia"/>
            <w:color w:val="00B1E1"/>
            <w:spacing w:val="2"/>
            <w:sz w:val="26"/>
            <w:szCs w:val="26"/>
          </w:rPr>
          <w:t>Bộ luật Lao động</w:t>
        </w:r>
      </w:hyperlink>
      <w:r w:rsidRPr="00144BD4">
        <w:rPr>
          <w:color w:val="000000"/>
          <w:spacing w:val="2"/>
          <w:sz w:val="26"/>
          <w:szCs w:val="26"/>
        </w:rPr>
        <w:t>.</w:t>
      </w:r>
    </w:p>
    <w:p w14:paraId="1D4E7C77"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color w:val="000000"/>
          <w:spacing w:val="2"/>
          <w:sz w:val="26"/>
          <w:szCs w:val="26"/>
        </w:rPr>
        <w:t>Cụ thể như sau: Phần tiền lương, tiền công trả cao hơn do phải làm việc ban đêm, làm thêm giờ được miễn thuế căn cứ vào tiền lương, tiền công thực trả do phải làm đêm, thêm giờ trừ (-) đi mức tiền lương, tiền công tính theo ngày làm việc bình thường.</w:t>
      </w:r>
    </w:p>
    <w:p w14:paraId="6709959A"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color w:val="000000"/>
          <w:spacing w:val="2"/>
          <w:sz w:val="26"/>
          <w:szCs w:val="26"/>
        </w:rPr>
        <w:t>+ Tiền lương hưu do Quỹ bảo hiểm xã hội trả theo quy định của </w:t>
      </w:r>
      <w:hyperlink r:id="rId8" w:tgtFrame="_blank" w:history="1">
        <w:r w:rsidRPr="00144BD4">
          <w:rPr>
            <w:rStyle w:val="Hyperlink"/>
            <w:rFonts w:eastAsiaTheme="majorEastAsia"/>
            <w:color w:val="00B1E1"/>
            <w:spacing w:val="2"/>
            <w:sz w:val="26"/>
            <w:szCs w:val="26"/>
          </w:rPr>
          <w:t>Luật Bảo hiểm xã hội</w:t>
        </w:r>
      </w:hyperlink>
      <w:r w:rsidRPr="00144BD4">
        <w:rPr>
          <w:color w:val="000000"/>
          <w:spacing w:val="2"/>
          <w:sz w:val="26"/>
          <w:szCs w:val="26"/>
        </w:rPr>
        <w:t>; tiền lương hưu nhận được hàng tháng từ Quỹ hưu trí tự nguyện. Cá nhân sinh sống, làm việc tại Việt Nam được miễn thuế đối với tiền lương hưu được trả từ nước ngoài.</w:t>
      </w:r>
    </w:p>
    <w:p w14:paraId="75BD33DF"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color w:val="000000"/>
          <w:spacing w:val="2"/>
          <w:sz w:val="26"/>
          <w:szCs w:val="26"/>
        </w:rPr>
        <w:t>+ Thu nhập từ tiền lương, tiền công của thuyền viên là người Việt Nam nhận được do làm việc cho các hãng tàu nước ngoài hoặc các hãng tàu Việt Nam vận tải quốc tế.</w:t>
      </w:r>
    </w:p>
    <w:p w14:paraId="767BE6AC" w14:textId="545E0E92"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color w:val="000000"/>
          <w:spacing w:val="2"/>
          <w:sz w:val="26"/>
          <w:szCs w:val="26"/>
        </w:rPr>
        <w:t>- Các khoản giảm trừ bao gồm: các khoản giảm trừ gia cảnh, các khoản đóng bảo hiểm, quỹ hưu trí tự nguyện và các khoản đóng góp từ thiện, nhân đạo, khuyến học</w:t>
      </w:r>
      <w:r w:rsidR="00D76A33">
        <w:rPr>
          <w:color w:val="000000"/>
          <w:spacing w:val="2"/>
          <w:sz w:val="26"/>
          <w:szCs w:val="26"/>
        </w:rPr>
        <w:t>.</w:t>
      </w:r>
    </w:p>
    <w:p w14:paraId="0A4D4DA6"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rStyle w:val="Emphasis"/>
          <w:color w:val="000000"/>
          <w:spacing w:val="2"/>
          <w:sz w:val="26"/>
          <w:szCs w:val="26"/>
        </w:rPr>
        <w:t>(ii) Thuế suất được xác định thông qua Biểu thuế lũy tiến từng phần sau đây:</w:t>
      </w:r>
    </w:p>
    <w:tbl>
      <w:tblPr>
        <w:tblW w:w="10500" w:type="dxa"/>
        <w:jc w:val="center"/>
        <w:shd w:val="clear" w:color="auto" w:fill="FFFFFF"/>
        <w:tblCellMar>
          <w:top w:w="75" w:type="dxa"/>
          <w:left w:w="75" w:type="dxa"/>
          <w:bottom w:w="75" w:type="dxa"/>
          <w:right w:w="75" w:type="dxa"/>
        </w:tblCellMar>
        <w:tblLook w:val="04A0" w:firstRow="1" w:lastRow="0" w:firstColumn="1" w:lastColumn="0" w:noHBand="0" w:noVBand="1"/>
      </w:tblPr>
      <w:tblGrid>
        <w:gridCol w:w="1083"/>
        <w:gridCol w:w="4001"/>
        <w:gridCol w:w="3669"/>
        <w:gridCol w:w="1747"/>
      </w:tblGrid>
      <w:tr w:rsidR="00144BD4" w:rsidRPr="00144BD4" w14:paraId="61D8E21B" w14:textId="77777777" w:rsidTr="00144BD4">
        <w:trPr>
          <w:trHeight w:val="720"/>
          <w:jc w:val="center"/>
        </w:trPr>
        <w:tc>
          <w:tcPr>
            <w:tcW w:w="930" w:type="dxa"/>
            <w:tcBorders>
              <w:top w:val="single" w:sz="6" w:space="0" w:color="000000"/>
              <w:left w:val="single" w:sz="6" w:space="0" w:color="000000"/>
              <w:bottom w:val="single" w:sz="6" w:space="0" w:color="000000"/>
              <w:right w:val="single" w:sz="6" w:space="0" w:color="000000"/>
            </w:tcBorders>
            <w:shd w:val="clear" w:color="auto" w:fill="66CCFF"/>
            <w:vAlign w:val="center"/>
            <w:hideMark/>
          </w:tcPr>
          <w:p w14:paraId="52A881D7" w14:textId="77777777" w:rsidR="00144BD4" w:rsidRPr="00144BD4" w:rsidRDefault="00144BD4">
            <w:pPr>
              <w:pStyle w:val="NormalWeb"/>
              <w:spacing w:before="0" w:beforeAutospacing="0" w:after="120" w:afterAutospacing="0"/>
              <w:jc w:val="center"/>
              <w:rPr>
                <w:sz w:val="26"/>
                <w:szCs w:val="26"/>
              </w:rPr>
            </w:pPr>
            <w:r w:rsidRPr="00144BD4">
              <w:rPr>
                <w:rStyle w:val="Strong"/>
                <w:sz w:val="26"/>
                <w:szCs w:val="26"/>
              </w:rPr>
              <w:t>Bậc thuế</w:t>
            </w:r>
          </w:p>
        </w:tc>
        <w:tc>
          <w:tcPr>
            <w:tcW w:w="3435" w:type="dxa"/>
            <w:tcBorders>
              <w:top w:val="single" w:sz="6" w:space="0" w:color="000000"/>
              <w:left w:val="nil"/>
              <w:bottom w:val="single" w:sz="6" w:space="0" w:color="000000"/>
              <w:right w:val="single" w:sz="6" w:space="0" w:color="000000"/>
            </w:tcBorders>
            <w:shd w:val="clear" w:color="auto" w:fill="66CCFF"/>
            <w:vAlign w:val="center"/>
            <w:hideMark/>
          </w:tcPr>
          <w:p w14:paraId="2589F936" w14:textId="77777777" w:rsidR="00144BD4" w:rsidRPr="00144BD4" w:rsidRDefault="00144BD4">
            <w:pPr>
              <w:pStyle w:val="NormalWeb"/>
              <w:spacing w:before="0" w:beforeAutospacing="0" w:after="120" w:afterAutospacing="0"/>
              <w:jc w:val="center"/>
              <w:rPr>
                <w:sz w:val="26"/>
                <w:szCs w:val="26"/>
              </w:rPr>
            </w:pPr>
            <w:r w:rsidRPr="00144BD4">
              <w:rPr>
                <w:rStyle w:val="Strong"/>
                <w:sz w:val="26"/>
                <w:szCs w:val="26"/>
              </w:rPr>
              <w:t>Phần thu nhập tính thuế/năm (triệu đồng)</w:t>
            </w:r>
          </w:p>
        </w:tc>
        <w:tc>
          <w:tcPr>
            <w:tcW w:w="3150" w:type="dxa"/>
            <w:tcBorders>
              <w:top w:val="single" w:sz="6" w:space="0" w:color="000000"/>
              <w:left w:val="nil"/>
              <w:bottom w:val="single" w:sz="6" w:space="0" w:color="000000"/>
              <w:right w:val="single" w:sz="6" w:space="0" w:color="000000"/>
            </w:tcBorders>
            <w:shd w:val="clear" w:color="auto" w:fill="66CCFF"/>
            <w:vAlign w:val="center"/>
            <w:hideMark/>
          </w:tcPr>
          <w:p w14:paraId="392A59DE" w14:textId="77777777" w:rsidR="00144BD4" w:rsidRPr="00144BD4" w:rsidRDefault="00144BD4">
            <w:pPr>
              <w:pStyle w:val="NormalWeb"/>
              <w:spacing w:before="0" w:beforeAutospacing="0" w:after="120" w:afterAutospacing="0"/>
              <w:jc w:val="center"/>
              <w:rPr>
                <w:sz w:val="26"/>
                <w:szCs w:val="26"/>
              </w:rPr>
            </w:pPr>
            <w:r w:rsidRPr="00144BD4">
              <w:rPr>
                <w:rStyle w:val="Strong"/>
                <w:sz w:val="26"/>
                <w:szCs w:val="26"/>
              </w:rPr>
              <w:t>Phần thu nhập tính thuế/tháng (triệu đồng)</w:t>
            </w:r>
          </w:p>
        </w:tc>
        <w:tc>
          <w:tcPr>
            <w:tcW w:w="1500" w:type="dxa"/>
            <w:tcBorders>
              <w:top w:val="single" w:sz="6" w:space="0" w:color="000000"/>
              <w:left w:val="nil"/>
              <w:bottom w:val="single" w:sz="6" w:space="0" w:color="000000"/>
              <w:right w:val="single" w:sz="6" w:space="0" w:color="000000"/>
            </w:tcBorders>
            <w:shd w:val="clear" w:color="auto" w:fill="66CCFF"/>
            <w:vAlign w:val="center"/>
            <w:hideMark/>
          </w:tcPr>
          <w:p w14:paraId="28C67DE7" w14:textId="77777777" w:rsidR="00144BD4" w:rsidRPr="00144BD4" w:rsidRDefault="00144BD4">
            <w:pPr>
              <w:pStyle w:val="NormalWeb"/>
              <w:spacing w:before="0" w:beforeAutospacing="0" w:after="120" w:afterAutospacing="0"/>
              <w:jc w:val="center"/>
              <w:rPr>
                <w:sz w:val="26"/>
                <w:szCs w:val="26"/>
              </w:rPr>
            </w:pPr>
            <w:r w:rsidRPr="00144BD4">
              <w:rPr>
                <w:rStyle w:val="Strong"/>
                <w:sz w:val="26"/>
                <w:szCs w:val="26"/>
              </w:rPr>
              <w:t>Thuế suất (%)</w:t>
            </w:r>
          </w:p>
        </w:tc>
      </w:tr>
      <w:tr w:rsidR="00144BD4" w:rsidRPr="00144BD4" w14:paraId="553F4BED" w14:textId="77777777" w:rsidTr="00144BD4">
        <w:trPr>
          <w:trHeight w:val="405"/>
          <w:jc w:val="center"/>
        </w:trPr>
        <w:tc>
          <w:tcPr>
            <w:tcW w:w="930" w:type="dxa"/>
            <w:tcBorders>
              <w:top w:val="nil"/>
              <w:left w:val="single" w:sz="6" w:space="0" w:color="000000"/>
              <w:bottom w:val="single" w:sz="6" w:space="0" w:color="000000"/>
              <w:right w:val="single" w:sz="6" w:space="0" w:color="000000"/>
            </w:tcBorders>
            <w:shd w:val="clear" w:color="auto" w:fill="FFFFFF"/>
            <w:hideMark/>
          </w:tcPr>
          <w:p w14:paraId="586701D2" w14:textId="77777777" w:rsidR="00144BD4" w:rsidRPr="00144BD4" w:rsidRDefault="00144BD4">
            <w:pPr>
              <w:pStyle w:val="NormalWeb"/>
              <w:spacing w:before="0" w:beforeAutospacing="0" w:after="120" w:afterAutospacing="0"/>
              <w:jc w:val="center"/>
              <w:rPr>
                <w:sz w:val="26"/>
                <w:szCs w:val="26"/>
              </w:rPr>
            </w:pPr>
            <w:r w:rsidRPr="00144BD4">
              <w:rPr>
                <w:sz w:val="26"/>
                <w:szCs w:val="26"/>
              </w:rPr>
              <w:t>1</w:t>
            </w:r>
          </w:p>
        </w:tc>
        <w:tc>
          <w:tcPr>
            <w:tcW w:w="3435" w:type="dxa"/>
            <w:tcBorders>
              <w:top w:val="nil"/>
              <w:left w:val="nil"/>
              <w:bottom w:val="single" w:sz="6" w:space="0" w:color="000000"/>
              <w:right w:val="single" w:sz="6" w:space="0" w:color="000000"/>
            </w:tcBorders>
            <w:shd w:val="clear" w:color="auto" w:fill="FFFFFF"/>
            <w:hideMark/>
          </w:tcPr>
          <w:p w14:paraId="02BDB13B" w14:textId="77777777" w:rsidR="00144BD4" w:rsidRPr="00144BD4" w:rsidRDefault="00144BD4">
            <w:pPr>
              <w:pStyle w:val="NormalWeb"/>
              <w:spacing w:before="0" w:beforeAutospacing="0" w:after="120" w:afterAutospacing="0"/>
              <w:jc w:val="both"/>
              <w:rPr>
                <w:sz w:val="26"/>
                <w:szCs w:val="26"/>
              </w:rPr>
            </w:pPr>
            <w:r w:rsidRPr="00144BD4">
              <w:rPr>
                <w:sz w:val="26"/>
                <w:szCs w:val="26"/>
              </w:rPr>
              <w:t>Đến 60</w:t>
            </w:r>
          </w:p>
        </w:tc>
        <w:tc>
          <w:tcPr>
            <w:tcW w:w="3150" w:type="dxa"/>
            <w:tcBorders>
              <w:top w:val="nil"/>
              <w:left w:val="nil"/>
              <w:bottom w:val="single" w:sz="6" w:space="0" w:color="000000"/>
              <w:right w:val="single" w:sz="6" w:space="0" w:color="000000"/>
            </w:tcBorders>
            <w:shd w:val="clear" w:color="auto" w:fill="FFFFFF"/>
            <w:hideMark/>
          </w:tcPr>
          <w:p w14:paraId="4244D30A" w14:textId="77777777" w:rsidR="00144BD4" w:rsidRPr="00144BD4" w:rsidRDefault="00144BD4">
            <w:pPr>
              <w:pStyle w:val="NormalWeb"/>
              <w:spacing w:before="0" w:beforeAutospacing="0" w:after="120" w:afterAutospacing="0"/>
              <w:jc w:val="both"/>
              <w:rPr>
                <w:sz w:val="26"/>
                <w:szCs w:val="26"/>
              </w:rPr>
            </w:pPr>
            <w:r w:rsidRPr="00144BD4">
              <w:rPr>
                <w:sz w:val="26"/>
                <w:szCs w:val="26"/>
              </w:rPr>
              <w:t>Đến 5</w:t>
            </w:r>
          </w:p>
        </w:tc>
        <w:tc>
          <w:tcPr>
            <w:tcW w:w="1500" w:type="dxa"/>
            <w:tcBorders>
              <w:top w:val="nil"/>
              <w:left w:val="nil"/>
              <w:bottom w:val="single" w:sz="6" w:space="0" w:color="000000"/>
              <w:right w:val="single" w:sz="6" w:space="0" w:color="000000"/>
            </w:tcBorders>
            <w:shd w:val="clear" w:color="auto" w:fill="FFFFFF"/>
            <w:hideMark/>
          </w:tcPr>
          <w:p w14:paraId="6560FFB9" w14:textId="77777777" w:rsidR="00144BD4" w:rsidRPr="00144BD4" w:rsidRDefault="00144BD4">
            <w:pPr>
              <w:pStyle w:val="NormalWeb"/>
              <w:spacing w:before="0" w:beforeAutospacing="0" w:after="120" w:afterAutospacing="0"/>
              <w:jc w:val="center"/>
              <w:rPr>
                <w:sz w:val="26"/>
                <w:szCs w:val="26"/>
              </w:rPr>
            </w:pPr>
            <w:r w:rsidRPr="00144BD4">
              <w:rPr>
                <w:sz w:val="26"/>
                <w:szCs w:val="26"/>
              </w:rPr>
              <w:t>5</w:t>
            </w:r>
          </w:p>
        </w:tc>
      </w:tr>
      <w:tr w:rsidR="00144BD4" w:rsidRPr="00144BD4" w14:paraId="7FA488AF" w14:textId="77777777" w:rsidTr="00144BD4">
        <w:trPr>
          <w:trHeight w:val="420"/>
          <w:jc w:val="center"/>
        </w:trPr>
        <w:tc>
          <w:tcPr>
            <w:tcW w:w="930" w:type="dxa"/>
            <w:tcBorders>
              <w:top w:val="nil"/>
              <w:left w:val="single" w:sz="6" w:space="0" w:color="000000"/>
              <w:bottom w:val="single" w:sz="6" w:space="0" w:color="000000"/>
              <w:right w:val="single" w:sz="6" w:space="0" w:color="000000"/>
            </w:tcBorders>
            <w:shd w:val="clear" w:color="auto" w:fill="FFFFFF"/>
            <w:hideMark/>
          </w:tcPr>
          <w:p w14:paraId="78509644" w14:textId="77777777" w:rsidR="00144BD4" w:rsidRPr="00144BD4" w:rsidRDefault="00144BD4">
            <w:pPr>
              <w:pStyle w:val="NormalWeb"/>
              <w:spacing w:before="0" w:beforeAutospacing="0" w:after="120" w:afterAutospacing="0"/>
              <w:jc w:val="center"/>
              <w:rPr>
                <w:sz w:val="26"/>
                <w:szCs w:val="26"/>
              </w:rPr>
            </w:pPr>
            <w:r w:rsidRPr="00144BD4">
              <w:rPr>
                <w:sz w:val="26"/>
                <w:szCs w:val="26"/>
              </w:rPr>
              <w:t>2</w:t>
            </w:r>
          </w:p>
        </w:tc>
        <w:tc>
          <w:tcPr>
            <w:tcW w:w="3435" w:type="dxa"/>
            <w:tcBorders>
              <w:top w:val="nil"/>
              <w:left w:val="nil"/>
              <w:bottom w:val="single" w:sz="6" w:space="0" w:color="000000"/>
              <w:right w:val="single" w:sz="6" w:space="0" w:color="000000"/>
            </w:tcBorders>
            <w:shd w:val="clear" w:color="auto" w:fill="FFFFFF"/>
            <w:hideMark/>
          </w:tcPr>
          <w:p w14:paraId="46A1A05F" w14:textId="77777777" w:rsidR="00144BD4" w:rsidRPr="00144BD4" w:rsidRDefault="00144BD4">
            <w:pPr>
              <w:pStyle w:val="NormalWeb"/>
              <w:spacing w:before="0" w:beforeAutospacing="0" w:after="120" w:afterAutospacing="0"/>
              <w:jc w:val="both"/>
              <w:rPr>
                <w:sz w:val="26"/>
                <w:szCs w:val="26"/>
              </w:rPr>
            </w:pPr>
            <w:r w:rsidRPr="00144BD4">
              <w:rPr>
                <w:sz w:val="26"/>
                <w:szCs w:val="26"/>
              </w:rPr>
              <w:t>Trên 60 đến 120</w:t>
            </w:r>
          </w:p>
        </w:tc>
        <w:tc>
          <w:tcPr>
            <w:tcW w:w="3150" w:type="dxa"/>
            <w:tcBorders>
              <w:top w:val="nil"/>
              <w:left w:val="nil"/>
              <w:bottom w:val="single" w:sz="6" w:space="0" w:color="000000"/>
              <w:right w:val="single" w:sz="6" w:space="0" w:color="000000"/>
            </w:tcBorders>
            <w:shd w:val="clear" w:color="auto" w:fill="FFFFFF"/>
            <w:hideMark/>
          </w:tcPr>
          <w:p w14:paraId="4192251E" w14:textId="77777777" w:rsidR="00144BD4" w:rsidRPr="00144BD4" w:rsidRDefault="00144BD4">
            <w:pPr>
              <w:pStyle w:val="NormalWeb"/>
              <w:spacing w:before="0" w:beforeAutospacing="0" w:after="120" w:afterAutospacing="0"/>
              <w:jc w:val="both"/>
              <w:rPr>
                <w:sz w:val="26"/>
                <w:szCs w:val="26"/>
              </w:rPr>
            </w:pPr>
            <w:r w:rsidRPr="00144BD4">
              <w:rPr>
                <w:sz w:val="26"/>
                <w:szCs w:val="26"/>
              </w:rPr>
              <w:t>Trên 5 đến 10</w:t>
            </w:r>
          </w:p>
        </w:tc>
        <w:tc>
          <w:tcPr>
            <w:tcW w:w="1500" w:type="dxa"/>
            <w:tcBorders>
              <w:top w:val="nil"/>
              <w:left w:val="nil"/>
              <w:bottom w:val="single" w:sz="6" w:space="0" w:color="000000"/>
              <w:right w:val="single" w:sz="6" w:space="0" w:color="000000"/>
            </w:tcBorders>
            <w:shd w:val="clear" w:color="auto" w:fill="FFFFFF"/>
            <w:hideMark/>
          </w:tcPr>
          <w:p w14:paraId="1EA6CA1D" w14:textId="77777777" w:rsidR="00144BD4" w:rsidRPr="00144BD4" w:rsidRDefault="00144BD4">
            <w:pPr>
              <w:pStyle w:val="NormalWeb"/>
              <w:spacing w:before="0" w:beforeAutospacing="0" w:after="120" w:afterAutospacing="0"/>
              <w:jc w:val="center"/>
              <w:rPr>
                <w:sz w:val="26"/>
                <w:szCs w:val="26"/>
              </w:rPr>
            </w:pPr>
            <w:r w:rsidRPr="00144BD4">
              <w:rPr>
                <w:sz w:val="26"/>
                <w:szCs w:val="26"/>
              </w:rPr>
              <w:t>10</w:t>
            </w:r>
          </w:p>
        </w:tc>
      </w:tr>
      <w:tr w:rsidR="00144BD4" w:rsidRPr="00144BD4" w14:paraId="073D6CA0" w14:textId="77777777" w:rsidTr="00144BD4">
        <w:trPr>
          <w:trHeight w:val="405"/>
          <w:jc w:val="center"/>
        </w:trPr>
        <w:tc>
          <w:tcPr>
            <w:tcW w:w="930" w:type="dxa"/>
            <w:tcBorders>
              <w:top w:val="nil"/>
              <w:left w:val="single" w:sz="6" w:space="0" w:color="000000"/>
              <w:bottom w:val="single" w:sz="6" w:space="0" w:color="000000"/>
              <w:right w:val="single" w:sz="6" w:space="0" w:color="000000"/>
            </w:tcBorders>
            <w:shd w:val="clear" w:color="auto" w:fill="FFFFFF"/>
            <w:hideMark/>
          </w:tcPr>
          <w:p w14:paraId="661C8CB8" w14:textId="77777777" w:rsidR="00144BD4" w:rsidRPr="00144BD4" w:rsidRDefault="00144BD4">
            <w:pPr>
              <w:pStyle w:val="NormalWeb"/>
              <w:spacing w:before="0" w:beforeAutospacing="0" w:after="120" w:afterAutospacing="0"/>
              <w:jc w:val="center"/>
              <w:rPr>
                <w:sz w:val="26"/>
                <w:szCs w:val="26"/>
              </w:rPr>
            </w:pPr>
            <w:r w:rsidRPr="00144BD4">
              <w:rPr>
                <w:sz w:val="26"/>
                <w:szCs w:val="26"/>
              </w:rPr>
              <w:t>3</w:t>
            </w:r>
          </w:p>
        </w:tc>
        <w:tc>
          <w:tcPr>
            <w:tcW w:w="3435" w:type="dxa"/>
            <w:tcBorders>
              <w:top w:val="nil"/>
              <w:left w:val="nil"/>
              <w:bottom w:val="single" w:sz="6" w:space="0" w:color="000000"/>
              <w:right w:val="single" w:sz="6" w:space="0" w:color="000000"/>
            </w:tcBorders>
            <w:shd w:val="clear" w:color="auto" w:fill="FFFFFF"/>
            <w:hideMark/>
          </w:tcPr>
          <w:p w14:paraId="704F6574" w14:textId="77777777" w:rsidR="00144BD4" w:rsidRPr="00144BD4" w:rsidRDefault="00144BD4">
            <w:pPr>
              <w:pStyle w:val="NormalWeb"/>
              <w:spacing w:before="0" w:beforeAutospacing="0" w:after="120" w:afterAutospacing="0"/>
              <w:jc w:val="both"/>
              <w:rPr>
                <w:sz w:val="26"/>
                <w:szCs w:val="26"/>
              </w:rPr>
            </w:pPr>
            <w:r w:rsidRPr="00144BD4">
              <w:rPr>
                <w:sz w:val="26"/>
                <w:szCs w:val="26"/>
              </w:rPr>
              <w:t>Trên 120 đến 216</w:t>
            </w:r>
          </w:p>
        </w:tc>
        <w:tc>
          <w:tcPr>
            <w:tcW w:w="3150" w:type="dxa"/>
            <w:tcBorders>
              <w:top w:val="nil"/>
              <w:left w:val="nil"/>
              <w:bottom w:val="single" w:sz="6" w:space="0" w:color="000000"/>
              <w:right w:val="single" w:sz="6" w:space="0" w:color="000000"/>
            </w:tcBorders>
            <w:shd w:val="clear" w:color="auto" w:fill="FFFFFF"/>
            <w:hideMark/>
          </w:tcPr>
          <w:p w14:paraId="30F40196" w14:textId="77777777" w:rsidR="00144BD4" w:rsidRPr="00144BD4" w:rsidRDefault="00144BD4">
            <w:pPr>
              <w:pStyle w:val="NormalWeb"/>
              <w:spacing w:before="0" w:beforeAutospacing="0" w:after="120" w:afterAutospacing="0"/>
              <w:jc w:val="both"/>
              <w:rPr>
                <w:sz w:val="26"/>
                <w:szCs w:val="26"/>
              </w:rPr>
            </w:pPr>
            <w:r w:rsidRPr="00144BD4">
              <w:rPr>
                <w:sz w:val="26"/>
                <w:szCs w:val="26"/>
              </w:rPr>
              <w:t>Trên 10 đến 18</w:t>
            </w:r>
          </w:p>
        </w:tc>
        <w:tc>
          <w:tcPr>
            <w:tcW w:w="1500" w:type="dxa"/>
            <w:tcBorders>
              <w:top w:val="nil"/>
              <w:left w:val="nil"/>
              <w:bottom w:val="single" w:sz="6" w:space="0" w:color="000000"/>
              <w:right w:val="single" w:sz="6" w:space="0" w:color="000000"/>
            </w:tcBorders>
            <w:shd w:val="clear" w:color="auto" w:fill="FFFFFF"/>
            <w:hideMark/>
          </w:tcPr>
          <w:p w14:paraId="1BEDA771" w14:textId="77777777" w:rsidR="00144BD4" w:rsidRPr="00144BD4" w:rsidRDefault="00144BD4">
            <w:pPr>
              <w:pStyle w:val="NormalWeb"/>
              <w:spacing w:before="0" w:beforeAutospacing="0" w:after="120" w:afterAutospacing="0"/>
              <w:jc w:val="center"/>
              <w:rPr>
                <w:sz w:val="26"/>
                <w:szCs w:val="26"/>
              </w:rPr>
            </w:pPr>
            <w:r w:rsidRPr="00144BD4">
              <w:rPr>
                <w:sz w:val="26"/>
                <w:szCs w:val="26"/>
              </w:rPr>
              <w:t>15</w:t>
            </w:r>
          </w:p>
        </w:tc>
      </w:tr>
      <w:tr w:rsidR="00144BD4" w:rsidRPr="00144BD4" w14:paraId="6C94554E" w14:textId="77777777" w:rsidTr="00144BD4">
        <w:trPr>
          <w:trHeight w:val="405"/>
          <w:jc w:val="center"/>
        </w:trPr>
        <w:tc>
          <w:tcPr>
            <w:tcW w:w="930" w:type="dxa"/>
            <w:tcBorders>
              <w:top w:val="nil"/>
              <w:left w:val="single" w:sz="6" w:space="0" w:color="000000"/>
              <w:bottom w:val="single" w:sz="6" w:space="0" w:color="000000"/>
              <w:right w:val="single" w:sz="6" w:space="0" w:color="000000"/>
            </w:tcBorders>
            <w:shd w:val="clear" w:color="auto" w:fill="FFFFFF"/>
            <w:hideMark/>
          </w:tcPr>
          <w:p w14:paraId="5A7CF00B" w14:textId="77777777" w:rsidR="00144BD4" w:rsidRPr="00144BD4" w:rsidRDefault="00144BD4">
            <w:pPr>
              <w:pStyle w:val="NormalWeb"/>
              <w:spacing w:before="0" w:beforeAutospacing="0" w:after="120" w:afterAutospacing="0"/>
              <w:jc w:val="center"/>
              <w:rPr>
                <w:sz w:val="26"/>
                <w:szCs w:val="26"/>
              </w:rPr>
            </w:pPr>
            <w:r w:rsidRPr="00144BD4">
              <w:rPr>
                <w:sz w:val="26"/>
                <w:szCs w:val="26"/>
              </w:rPr>
              <w:t>4</w:t>
            </w:r>
          </w:p>
        </w:tc>
        <w:tc>
          <w:tcPr>
            <w:tcW w:w="3435" w:type="dxa"/>
            <w:tcBorders>
              <w:top w:val="nil"/>
              <w:left w:val="nil"/>
              <w:bottom w:val="single" w:sz="6" w:space="0" w:color="000000"/>
              <w:right w:val="single" w:sz="6" w:space="0" w:color="000000"/>
            </w:tcBorders>
            <w:shd w:val="clear" w:color="auto" w:fill="FFFFFF"/>
            <w:hideMark/>
          </w:tcPr>
          <w:p w14:paraId="0611BF80" w14:textId="77777777" w:rsidR="00144BD4" w:rsidRPr="00144BD4" w:rsidRDefault="00144BD4">
            <w:pPr>
              <w:pStyle w:val="NormalWeb"/>
              <w:spacing w:before="0" w:beforeAutospacing="0" w:after="120" w:afterAutospacing="0"/>
              <w:jc w:val="both"/>
              <w:rPr>
                <w:sz w:val="26"/>
                <w:szCs w:val="26"/>
              </w:rPr>
            </w:pPr>
            <w:r w:rsidRPr="00144BD4">
              <w:rPr>
                <w:sz w:val="26"/>
                <w:szCs w:val="26"/>
              </w:rPr>
              <w:t>Trên 216 đến 384</w:t>
            </w:r>
          </w:p>
        </w:tc>
        <w:tc>
          <w:tcPr>
            <w:tcW w:w="3150" w:type="dxa"/>
            <w:tcBorders>
              <w:top w:val="nil"/>
              <w:left w:val="nil"/>
              <w:bottom w:val="single" w:sz="6" w:space="0" w:color="000000"/>
              <w:right w:val="single" w:sz="6" w:space="0" w:color="000000"/>
            </w:tcBorders>
            <w:shd w:val="clear" w:color="auto" w:fill="FFFFFF"/>
            <w:hideMark/>
          </w:tcPr>
          <w:p w14:paraId="71EC3B62" w14:textId="77777777" w:rsidR="00144BD4" w:rsidRPr="00144BD4" w:rsidRDefault="00144BD4">
            <w:pPr>
              <w:pStyle w:val="NormalWeb"/>
              <w:spacing w:before="0" w:beforeAutospacing="0" w:after="120" w:afterAutospacing="0"/>
              <w:jc w:val="both"/>
              <w:rPr>
                <w:sz w:val="26"/>
                <w:szCs w:val="26"/>
              </w:rPr>
            </w:pPr>
            <w:r w:rsidRPr="00144BD4">
              <w:rPr>
                <w:sz w:val="26"/>
                <w:szCs w:val="26"/>
              </w:rPr>
              <w:t>Trên 18 đến 32</w:t>
            </w:r>
          </w:p>
        </w:tc>
        <w:tc>
          <w:tcPr>
            <w:tcW w:w="1500" w:type="dxa"/>
            <w:tcBorders>
              <w:top w:val="nil"/>
              <w:left w:val="nil"/>
              <w:bottom w:val="single" w:sz="6" w:space="0" w:color="000000"/>
              <w:right w:val="single" w:sz="6" w:space="0" w:color="000000"/>
            </w:tcBorders>
            <w:shd w:val="clear" w:color="auto" w:fill="FFFFFF"/>
            <w:hideMark/>
          </w:tcPr>
          <w:p w14:paraId="0EAF0D0D" w14:textId="77777777" w:rsidR="00144BD4" w:rsidRPr="00144BD4" w:rsidRDefault="00144BD4">
            <w:pPr>
              <w:pStyle w:val="NormalWeb"/>
              <w:spacing w:before="0" w:beforeAutospacing="0" w:after="120" w:afterAutospacing="0"/>
              <w:jc w:val="center"/>
              <w:rPr>
                <w:sz w:val="26"/>
                <w:szCs w:val="26"/>
              </w:rPr>
            </w:pPr>
            <w:r w:rsidRPr="00144BD4">
              <w:rPr>
                <w:sz w:val="26"/>
                <w:szCs w:val="26"/>
              </w:rPr>
              <w:t>20</w:t>
            </w:r>
          </w:p>
        </w:tc>
      </w:tr>
      <w:tr w:rsidR="00144BD4" w:rsidRPr="00144BD4" w14:paraId="3229ABFA" w14:textId="77777777" w:rsidTr="00144BD4">
        <w:trPr>
          <w:trHeight w:val="405"/>
          <w:jc w:val="center"/>
        </w:trPr>
        <w:tc>
          <w:tcPr>
            <w:tcW w:w="930" w:type="dxa"/>
            <w:tcBorders>
              <w:top w:val="nil"/>
              <w:left w:val="single" w:sz="6" w:space="0" w:color="000000"/>
              <w:bottom w:val="single" w:sz="6" w:space="0" w:color="000000"/>
              <w:right w:val="single" w:sz="6" w:space="0" w:color="000000"/>
            </w:tcBorders>
            <w:shd w:val="clear" w:color="auto" w:fill="FFFFFF"/>
            <w:hideMark/>
          </w:tcPr>
          <w:p w14:paraId="11998A46" w14:textId="77777777" w:rsidR="00144BD4" w:rsidRPr="00144BD4" w:rsidRDefault="00144BD4">
            <w:pPr>
              <w:pStyle w:val="NormalWeb"/>
              <w:spacing w:before="0" w:beforeAutospacing="0" w:after="120" w:afterAutospacing="0"/>
              <w:jc w:val="center"/>
              <w:rPr>
                <w:sz w:val="26"/>
                <w:szCs w:val="26"/>
              </w:rPr>
            </w:pPr>
            <w:r w:rsidRPr="00144BD4">
              <w:rPr>
                <w:sz w:val="26"/>
                <w:szCs w:val="26"/>
              </w:rPr>
              <w:t>5</w:t>
            </w:r>
          </w:p>
        </w:tc>
        <w:tc>
          <w:tcPr>
            <w:tcW w:w="3435" w:type="dxa"/>
            <w:tcBorders>
              <w:top w:val="nil"/>
              <w:left w:val="nil"/>
              <w:bottom w:val="single" w:sz="6" w:space="0" w:color="000000"/>
              <w:right w:val="single" w:sz="6" w:space="0" w:color="000000"/>
            </w:tcBorders>
            <w:shd w:val="clear" w:color="auto" w:fill="FFFFFF"/>
            <w:hideMark/>
          </w:tcPr>
          <w:p w14:paraId="4A5A5980" w14:textId="77777777" w:rsidR="00144BD4" w:rsidRPr="00144BD4" w:rsidRDefault="00144BD4">
            <w:pPr>
              <w:pStyle w:val="NormalWeb"/>
              <w:spacing w:before="0" w:beforeAutospacing="0" w:after="120" w:afterAutospacing="0"/>
              <w:jc w:val="both"/>
              <w:rPr>
                <w:sz w:val="26"/>
                <w:szCs w:val="26"/>
              </w:rPr>
            </w:pPr>
            <w:r w:rsidRPr="00144BD4">
              <w:rPr>
                <w:sz w:val="26"/>
                <w:szCs w:val="26"/>
              </w:rPr>
              <w:t>Trên 384 đến 624</w:t>
            </w:r>
          </w:p>
        </w:tc>
        <w:tc>
          <w:tcPr>
            <w:tcW w:w="3150" w:type="dxa"/>
            <w:tcBorders>
              <w:top w:val="nil"/>
              <w:left w:val="nil"/>
              <w:bottom w:val="single" w:sz="6" w:space="0" w:color="000000"/>
              <w:right w:val="single" w:sz="6" w:space="0" w:color="000000"/>
            </w:tcBorders>
            <w:shd w:val="clear" w:color="auto" w:fill="FFFFFF"/>
            <w:hideMark/>
          </w:tcPr>
          <w:p w14:paraId="07285494" w14:textId="77777777" w:rsidR="00144BD4" w:rsidRPr="00144BD4" w:rsidRDefault="00144BD4">
            <w:pPr>
              <w:pStyle w:val="NormalWeb"/>
              <w:spacing w:before="0" w:beforeAutospacing="0" w:after="120" w:afterAutospacing="0"/>
              <w:jc w:val="both"/>
              <w:rPr>
                <w:sz w:val="26"/>
                <w:szCs w:val="26"/>
              </w:rPr>
            </w:pPr>
            <w:r w:rsidRPr="00144BD4">
              <w:rPr>
                <w:sz w:val="26"/>
                <w:szCs w:val="26"/>
              </w:rPr>
              <w:t>Trên 32 đến 52</w:t>
            </w:r>
          </w:p>
        </w:tc>
        <w:tc>
          <w:tcPr>
            <w:tcW w:w="1500" w:type="dxa"/>
            <w:tcBorders>
              <w:top w:val="nil"/>
              <w:left w:val="nil"/>
              <w:bottom w:val="single" w:sz="6" w:space="0" w:color="000000"/>
              <w:right w:val="single" w:sz="6" w:space="0" w:color="000000"/>
            </w:tcBorders>
            <w:shd w:val="clear" w:color="auto" w:fill="FFFFFF"/>
            <w:hideMark/>
          </w:tcPr>
          <w:p w14:paraId="31415369" w14:textId="77777777" w:rsidR="00144BD4" w:rsidRPr="00144BD4" w:rsidRDefault="00144BD4">
            <w:pPr>
              <w:pStyle w:val="NormalWeb"/>
              <w:spacing w:before="0" w:beforeAutospacing="0" w:after="120" w:afterAutospacing="0"/>
              <w:jc w:val="center"/>
              <w:rPr>
                <w:sz w:val="26"/>
                <w:szCs w:val="26"/>
              </w:rPr>
            </w:pPr>
            <w:r w:rsidRPr="00144BD4">
              <w:rPr>
                <w:sz w:val="26"/>
                <w:szCs w:val="26"/>
              </w:rPr>
              <w:t>25</w:t>
            </w:r>
          </w:p>
        </w:tc>
      </w:tr>
      <w:tr w:rsidR="00144BD4" w:rsidRPr="00144BD4" w14:paraId="3163A68A" w14:textId="77777777" w:rsidTr="00144BD4">
        <w:trPr>
          <w:trHeight w:val="390"/>
          <w:jc w:val="center"/>
        </w:trPr>
        <w:tc>
          <w:tcPr>
            <w:tcW w:w="930" w:type="dxa"/>
            <w:tcBorders>
              <w:top w:val="nil"/>
              <w:left w:val="single" w:sz="6" w:space="0" w:color="000000"/>
              <w:bottom w:val="single" w:sz="6" w:space="0" w:color="000000"/>
              <w:right w:val="single" w:sz="6" w:space="0" w:color="000000"/>
            </w:tcBorders>
            <w:shd w:val="clear" w:color="auto" w:fill="FFFFFF"/>
            <w:hideMark/>
          </w:tcPr>
          <w:p w14:paraId="03B75E94" w14:textId="77777777" w:rsidR="00144BD4" w:rsidRPr="00144BD4" w:rsidRDefault="00144BD4">
            <w:pPr>
              <w:pStyle w:val="NormalWeb"/>
              <w:spacing w:before="0" w:beforeAutospacing="0" w:after="120" w:afterAutospacing="0"/>
              <w:jc w:val="center"/>
              <w:rPr>
                <w:sz w:val="26"/>
                <w:szCs w:val="26"/>
              </w:rPr>
            </w:pPr>
            <w:r w:rsidRPr="00144BD4">
              <w:rPr>
                <w:sz w:val="26"/>
                <w:szCs w:val="26"/>
              </w:rPr>
              <w:t>6</w:t>
            </w:r>
          </w:p>
        </w:tc>
        <w:tc>
          <w:tcPr>
            <w:tcW w:w="3435" w:type="dxa"/>
            <w:tcBorders>
              <w:top w:val="nil"/>
              <w:left w:val="nil"/>
              <w:bottom w:val="single" w:sz="6" w:space="0" w:color="000000"/>
              <w:right w:val="single" w:sz="6" w:space="0" w:color="000000"/>
            </w:tcBorders>
            <w:shd w:val="clear" w:color="auto" w:fill="FFFFFF"/>
            <w:hideMark/>
          </w:tcPr>
          <w:p w14:paraId="2CB4158E" w14:textId="77777777" w:rsidR="00144BD4" w:rsidRPr="00144BD4" w:rsidRDefault="00144BD4">
            <w:pPr>
              <w:pStyle w:val="NormalWeb"/>
              <w:spacing w:before="0" w:beforeAutospacing="0" w:after="120" w:afterAutospacing="0"/>
              <w:jc w:val="both"/>
              <w:rPr>
                <w:sz w:val="26"/>
                <w:szCs w:val="26"/>
              </w:rPr>
            </w:pPr>
            <w:r w:rsidRPr="00144BD4">
              <w:rPr>
                <w:sz w:val="26"/>
                <w:szCs w:val="26"/>
              </w:rPr>
              <w:t>Trên 624 đến 960</w:t>
            </w:r>
          </w:p>
        </w:tc>
        <w:tc>
          <w:tcPr>
            <w:tcW w:w="3150" w:type="dxa"/>
            <w:tcBorders>
              <w:top w:val="nil"/>
              <w:left w:val="nil"/>
              <w:bottom w:val="single" w:sz="6" w:space="0" w:color="000000"/>
              <w:right w:val="single" w:sz="6" w:space="0" w:color="000000"/>
            </w:tcBorders>
            <w:shd w:val="clear" w:color="auto" w:fill="FFFFFF"/>
            <w:hideMark/>
          </w:tcPr>
          <w:p w14:paraId="13ABAE7F" w14:textId="77777777" w:rsidR="00144BD4" w:rsidRPr="00144BD4" w:rsidRDefault="00144BD4">
            <w:pPr>
              <w:pStyle w:val="NormalWeb"/>
              <w:spacing w:before="0" w:beforeAutospacing="0" w:after="120" w:afterAutospacing="0"/>
              <w:jc w:val="both"/>
              <w:rPr>
                <w:sz w:val="26"/>
                <w:szCs w:val="26"/>
              </w:rPr>
            </w:pPr>
            <w:r w:rsidRPr="00144BD4">
              <w:rPr>
                <w:sz w:val="26"/>
                <w:szCs w:val="26"/>
              </w:rPr>
              <w:t>Trên 52 đến 80</w:t>
            </w:r>
          </w:p>
        </w:tc>
        <w:tc>
          <w:tcPr>
            <w:tcW w:w="1500" w:type="dxa"/>
            <w:tcBorders>
              <w:top w:val="nil"/>
              <w:left w:val="nil"/>
              <w:bottom w:val="single" w:sz="6" w:space="0" w:color="000000"/>
              <w:right w:val="single" w:sz="6" w:space="0" w:color="000000"/>
            </w:tcBorders>
            <w:shd w:val="clear" w:color="auto" w:fill="FFFFFF"/>
            <w:hideMark/>
          </w:tcPr>
          <w:p w14:paraId="3C5203AC" w14:textId="77777777" w:rsidR="00144BD4" w:rsidRPr="00144BD4" w:rsidRDefault="00144BD4">
            <w:pPr>
              <w:pStyle w:val="NormalWeb"/>
              <w:spacing w:before="0" w:beforeAutospacing="0" w:after="120" w:afterAutospacing="0"/>
              <w:jc w:val="center"/>
              <w:rPr>
                <w:sz w:val="26"/>
                <w:szCs w:val="26"/>
              </w:rPr>
            </w:pPr>
            <w:r w:rsidRPr="00144BD4">
              <w:rPr>
                <w:sz w:val="26"/>
                <w:szCs w:val="26"/>
              </w:rPr>
              <w:t>30</w:t>
            </w:r>
          </w:p>
        </w:tc>
      </w:tr>
      <w:tr w:rsidR="00144BD4" w:rsidRPr="00144BD4" w14:paraId="253D15CE" w14:textId="77777777" w:rsidTr="00144BD4">
        <w:trPr>
          <w:trHeight w:val="390"/>
          <w:jc w:val="center"/>
        </w:trPr>
        <w:tc>
          <w:tcPr>
            <w:tcW w:w="930" w:type="dxa"/>
            <w:tcBorders>
              <w:top w:val="nil"/>
              <w:left w:val="single" w:sz="6" w:space="0" w:color="000000"/>
              <w:bottom w:val="single" w:sz="6" w:space="0" w:color="000000"/>
              <w:right w:val="single" w:sz="6" w:space="0" w:color="000000"/>
            </w:tcBorders>
            <w:shd w:val="clear" w:color="auto" w:fill="FFFFFF"/>
            <w:hideMark/>
          </w:tcPr>
          <w:p w14:paraId="56F8D9CB" w14:textId="77777777" w:rsidR="00144BD4" w:rsidRPr="00144BD4" w:rsidRDefault="00144BD4">
            <w:pPr>
              <w:pStyle w:val="NormalWeb"/>
              <w:spacing w:before="0" w:beforeAutospacing="0" w:after="120" w:afterAutospacing="0"/>
              <w:jc w:val="center"/>
              <w:rPr>
                <w:sz w:val="26"/>
                <w:szCs w:val="26"/>
              </w:rPr>
            </w:pPr>
            <w:r w:rsidRPr="00144BD4">
              <w:rPr>
                <w:sz w:val="26"/>
                <w:szCs w:val="26"/>
              </w:rPr>
              <w:t>7</w:t>
            </w:r>
          </w:p>
        </w:tc>
        <w:tc>
          <w:tcPr>
            <w:tcW w:w="3435" w:type="dxa"/>
            <w:tcBorders>
              <w:top w:val="nil"/>
              <w:left w:val="nil"/>
              <w:bottom w:val="single" w:sz="6" w:space="0" w:color="000000"/>
              <w:right w:val="single" w:sz="6" w:space="0" w:color="000000"/>
            </w:tcBorders>
            <w:shd w:val="clear" w:color="auto" w:fill="FFFFFF"/>
            <w:hideMark/>
          </w:tcPr>
          <w:p w14:paraId="23C81C89" w14:textId="77777777" w:rsidR="00144BD4" w:rsidRPr="00144BD4" w:rsidRDefault="00144BD4">
            <w:pPr>
              <w:pStyle w:val="NormalWeb"/>
              <w:spacing w:before="0" w:beforeAutospacing="0" w:after="120" w:afterAutospacing="0"/>
              <w:jc w:val="both"/>
              <w:rPr>
                <w:sz w:val="26"/>
                <w:szCs w:val="26"/>
              </w:rPr>
            </w:pPr>
            <w:r w:rsidRPr="00144BD4">
              <w:rPr>
                <w:sz w:val="26"/>
                <w:szCs w:val="26"/>
              </w:rPr>
              <w:t>Trên 960</w:t>
            </w:r>
          </w:p>
        </w:tc>
        <w:tc>
          <w:tcPr>
            <w:tcW w:w="3150" w:type="dxa"/>
            <w:tcBorders>
              <w:top w:val="nil"/>
              <w:left w:val="nil"/>
              <w:bottom w:val="single" w:sz="6" w:space="0" w:color="000000"/>
              <w:right w:val="single" w:sz="6" w:space="0" w:color="000000"/>
            </w:tcBorders>
            <w:shd w:val="clear" w:color="auto" w:fill="FFFFFF"/>
            <w:hideMark/>
          </w:tcPr>
          <w:p w14:paraId="4EFB7ACD" w14:textId="77777777" w:rsidR="00144BD4" w:rsidRPr="00144BD4" w:rsidRDefault="00144BD4">
            <w:pPr>
              <w:pStyle w:val="NormalWeb"/>
              <w:spacing w:before="0" w:beforeAutospacing="0" w:after="120" w:afterAutospacing="0"/>
              <w:jc w:val="both"/>
              <w:rPr>
                <w:sz w:val="26"/>
                <w:szCs w:val="26"/>
              </w:rPr>
            </w:pPr>
            <w:r w:rsidRPr="00144BD4">
              <w:rPr>
                <w:sz w:val="26"/>
                <w:szCs w:val="26"/>
              </w:rPr>
              <w:t>Trên 80</w:t>
            </w:r>
          </w:p>
        </w:tc>
        <w:tc>
          <w:tcPr>
            <w:tcW w:w="1500" w:type="dxa"/>
            <w:tcBorders>
              <w:top w:val="nil"/>
              <w:left w:val="nil"/>
              <w:bottom w:val="single" w:sz="6" w:space="0" w:color="000000"/>
              <w:right w:val="single" w:sz="6" w:space="0" w:color="000000"/>
            </w:tcBorders>
            <w:shd w:val="clear" w:color="auto" w:fill="FFFFFF"/>
            <w:hideMark/>
          </w:tcPr>
          <w:p w14:paraId="20A2EBCF" w14:textId="77777777" w:rsidR="00144BD4" w:rsidRPr="00144BD4" w:rsidRDefault="00144BD4">
            <w:pPr>
              <w:pStyle w:val="NormalWeb"/>
              <w:spacing w:before="0" w:beforeAutospacing="0" w:after="120" w:afterAutospacing="0"/>
              <w:jc w:val="center"/>
              <w:rPr>
                <w:sz w:val="26"/>
                <w:szCs w:val="26"/>
              </w:rPr>
            </w:pPr>
            <w:r w:rsidRPr="00144BD4">
              <w:rPr>
                <w:sz w:val="26"/>
                <w:szCs w:val="26"/>
              </w:rPr>
              <w:t>35</w:t>
            </w:r>
          </w:p>
        </w:tc>
      </w:tr>
    </w:tbl>
    <w:p w14:paraId="337A3CC1"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rStyle w:val="Strong"/>
          <w:color w:val="000000"/>
          <w:spacing w:val="2"/>
          <w:sz w:val="26"/>
          <w:szCs w:val="26"/>
        </w:rPr>
        <w:t>Theo đó</w:t>
      </w:r>
      <w:r w:rsidRPr="00144BD4">
        <w:rPr>
          <w:color w:val="000000"/>
          <w:spacing w:val="2"/>
          <w:sz w:val="26"/>
          <w:szCs w:val="26"/>
        </w:rPr>
        <w:t>, thuế TNCN từ tiền lương, tiền công là tổng số thuế tính theo từng bậc thu nhập. Số thuế tính theo từng bậc thu nhập bằng thu nhập tính thuế của bậc thu nhập nhân (×) với thuế suất tương ứng của bậc thu nhập đó.</w:t>
      </w:r>
    </w:p>
    <w:p w14:paraId="73798570"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rStyle w:val="Strong"/>
          <w:color w:val="000000"/>
          <w:spacing w:val="2"/>
          <w:sz w:val="26"/>
          <w:szCs w:val="26"/>
        </w:rPr>
        <w:t>Tuy nhiên, người nộp thuế có thể áp dụng cách đơn giản hơn để tính thuế TNCN phải nộp thông qua phương pháp rút gọn theo Phụ lục số 01/PL-TNCN ban hành kèm theo </w:t>
      </w:r>
      <w:hyperlink r:id="rId9" w:tgtFrame="_blank" w:history="1">
        <w:r w:rsidRPr="00144BD4">
          <w:rPr>
            <w:rStyle w:val="Hyperlink"/>
            <w:rFonts w:eastAsiaTheme="majorEastAsia"/>
            <w:b/>
            <w:bCs/>
            <w:color w:val="00B1E1"/>
            <w:spacing w:val="2"/>
            <w:sz w:val="26"/>
            <w:szCs w:val="26"/>
          </w:rPr>
          <w:t>Thông tư 111/2013/TT-BTC</w:t>
        </w:r>
      </w:hyperlink>
      <w:r w:rsidRPr="00144BD4">
        <w:rPr>
          <w:rStyle w:val="Strong"/>
          <w:color w:val="000000"/>
          <w:spacing w:val="2"/>
          <w:sz w:val="26"/>
          <w:szCs w:val="26"/>
        </w:rPr>
        <w:t> sau đây:</w:t>
      </w:r>
    </w:p>
    <w:p w14:paraId="180104EA" w14:textId="77777777" w:rsidR="00144BD4" w:rsidRPr="00144BD4" w:rsidRDefault="00144BD4" w:rsidP="00144BD4">
      <w:pPr>
        <w:pStyle w:val="NormalWeb"/>
        <w:shd w:val="clear" w:color="auto" w:fill="FFFFFF"/>
        <w:spacing w:before="0" w:beforeAutospacing="0" w:after="120" w:afterAutospacing="0"/>
        <w:jc w:val="right"/>
        <w:rPr>
          <w:color w:val="212529"/>
          <w:spacing w:val="2"/>
          <w:sz w:val="26"/>
          <w:szCs w:val="26"/>
        </w:rPr>
      </w:pPr>
      <w:r w:rsidRPr="00144BD4">
        <w:rPr>
          <w:rStyle w:val="Emphasis"/>
          <w:color w:val="000000"/>
          <w:spacing w:val="2"/>
          <w:sz w:val="26"/>
          <w:szCs w:val="26"/>
        </w:rPr>
        <w:t>Chú giải: TNTT là thu nhập tính thuế (xác định theo hướng dẫn tại đoạn (ii) Mục 2.1)</w:t>
      </w:r>
    </w:p>
    <w:tbl>
      <w:tblPr>
        <w:tblW w:w="5000" w:type="pct"/>
        <w:jc w:val="center"/>
        <w:tblCellMar>
          <w:top w:w="75" w:type="dxa"/>
          <w:left w:w="75" w:type="dxa"/>
          <w:bottom w:w="75" w:type="dxa"/>
          <w:right w:w="75" w:type="dxa"/>
        </w:tblCellMar>
        <w:tblLook w:val="04A0" w:firstRow="1" w:lastRow="0" w:firstColumn="1" w:lastColumn="0" w:noHBand="0" w:noVBand="1"/>
      </w:tblPr>
      <w:tblGrid>
        <w:gridCol w:w="777"/>
        <w:gridCol w:w="2235"/>
        <w:gridCol w:w="931"/>
        <w:gridCol w:w="3166"/>
        <w:gridCol w:w="2235"/>
      </w:tblGrid>
      <w:tr w:rsidR="00144BD4" w:rsidRPr="00144BD4" w14:paraId="15B0DA6F" w14:textId="77777777" w:rsidTr="00D76A33">
        <w:trPr>
          <w:jc w:val="center"/>
        </w:trPr>
        <w:tc>
          <w:tcPr>
            <w:tcW w:w="416" w:type="pct"/>
            <w:vMerge w:val="restart"/>
            <w:tcBorders>
              <w:top w:val="single" w:sz="6" w:space="0" w:color="000000"/>
              <w:left w:val="single" w:sz="6" w:space="0" w:color="000000"/>
              <w:bottom w:val="single" w:sz="6" w:space="0" w:color="000000"/>
              <w:right w:val="single" w:sz="6" w:space="0" w:color="000000"/>
            </w:tcBorders>
            <w:shd w:val="clear" w:color="auto" w:fill="FFCC00"/>
            <w:vAlign w:val="center"/>
            <w:hideMark/>
          </w:tcPr>
          <w:p w14:paraId="7A2635C8"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Bậc</w:t>
            </w:r>
          </w:p>
        </w:tc>
        <w:tc>
          <w:tcPr>
            <w:tcW w:w="1196" w:type="pct"/>
            <w:vMerge w:val="restart"/>
            <w:tcBorders>
              <w:top w:val="single" w:sz="6" w:space="0" w:color="000000"/>
              <w:left w:val="nil"/>
              <w:bottom w:val="single" w:sz="6" w:space="0" w:color="000000"/>
              <w:right w:val="single" w:sz="6" w:space="0" w:color="000000"/>
            </w:tcBorders>
            <w:shd w:val="clear" w:color="auto" w:fill="FFCC00"/>
            <w:vAlign w:val="center"/>
            <w:hideMark/>
          </w:tcPr>
          <w:p w14:paraId="26EA4360"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Thu nhập tính thuế /tháng (đồng)</w:t>
            </w:r>
          </w:p>
        </w:tc>
        <w:tc>
          <w:tcPr>
            <w:tcW w:w="498" w:type="pct"/>
            <w:vMerge w:val="restart"/>
            <w:tcBorders>
              <w:top w:val="single" w:sz="6" w:space="0" w:color="000000"/>
              <w:left w:val="nil"/>
              <w:bottom w:val="single" w:sz="6" w:space="0" w:color="000000"/>
              <w:right w:val="single" w:sz="6" w:space="0" w:color="000000"/>
            </w:tcBorders>
            <w:shd w:val="clear" w:color="auto" w:fill="FFCC00"/>
            <w:vAlign w:val="center"/>
            <w:hideMark/>
          </w:tcPr>
          <w:p w14:paraId="04278E53"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Thuế suất</w:t>
            </w:r>
          </w:p>
        </w:tc>
        <w:tc>
          <w:tcPr>
            <w:tcW w:w="2890" w:type="pct"/>
            <w:gridSpan w:val="2"/>
            <w:tcBorders>
              <w:top w:val="single" w:sz="6" w:space="0" w:color="000000"/>
              <w:left w:val="nil"/>
              <w:bottom w:val="single" w:sz="6" w:space="0" w:color="000000"/>
              <w:right w:val="single" w:sz="6" w:space="0" w:color="000000"/>
            </w:tcBorders>
            <w:shd w:val="clear" w:color="auto" w:fill="FFCC00"/>
            <w:vAlign w:val="center"/>
            <w:hideMark/>
          </w:tcPr>
          <w:p w14:paraId="7C8BAE76"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Tính số thuế phải nộp</w:t>
            </w:r>
          </w:p>
        </w:tc>
      </w:tr>
      <w:tr w:rsidR="00144BD4" w:rsidRPr="00144BD4" w14:paraId="6175B3FA" w14:textId="77777777" w:rsidTr="00D76A33">
        <w:trPr>
          <w:jc w:val="center"/>
        </w:trPr>
        <w:tc>
          <w:tcPr>
            <w:tcW w:w="416" w:type="pct"/>
            <w:vMerge/>
            <w:tcBorders>
              <w:top w:val="single" w:sz="6" w:space="0" w:color="000000"/>
              <w:left w:val="single" w:sz="6" w:space="0" w:color="000000"/>
              <w:bottom w:val="single" w:sz="6" w:space="0" w:color="000000"/>
              <w:right w:val="single" w:sz="6" w:space="0" w:color="000000"/>
            </w:tcBorders>
            <w:vAlign w:val="center"/>
            <w:hideMark/>
          </w:tcPr>
          <w:p w14:paraId="3CB887A7" w14:textId="77777777" w:rsidR="00144BD4" w:rsidRPr="00144BD4" w:rsidRDefault="00144BD4">
            <w:pPr>
              <w:rPr>
                <w:rFonts w:ascii="Times New Roman" w:hAnsi="Times New Roman" w:cs="Times New Roman"/>
                <w:sz w:val="26"/>
                <w:szCs w:val="26"/>
              </w:rPr>
            </w:pPr>
          </w:p>
        </w:tc>
        <w:tc>
          <w:tcPr>
            <w:tcW w:w="1196" w:type="pct"/>
            <w:vMerge/>
            <w:tcBorders>
              <w:top w:val="single" w:sz="6" w:space="0" w:color="000000"/>
              <w:left w:val="nil"/>
              <w:bottom w:val="single" w:sz="6" w:space="0" w:color="000000"/>
              <w:right w:val="single" w:sz="6" w:space="0" w:color="000000"/>
            </w:tcBorders>
            <w:vAlign w:val="center"/>
            <w:hideMark/>
          </w:tcPr>
          <w:p w14:paraId="0E38D568" w14:textId="77777777" w:rsidR="00144BD4" w:rsidRPr="00144BD4" w:rsidRDefault="00144BD4">
            <w:pPr>
              <w:rPr>
                <w:rFonts w:ascii="Times New Roman" w:hAnsi="Times New Roman" w:cs="Times New Roman"/>
                <w:sz w:val="26"/>
                <w:szCs w:val="26"/>
              </w:rPr>
            </w:pPr>
          </w:p>
        </w:tc>
        <w:tc>
          <w:tcPr>
            <w:tcW w:w="498" w:type="pct"/>
            <w:vMerge/>
            <w:tcBorders>
              <w:top w:val="single" w:sz="6" w:space="0" w:color="000000"/>
              <w:left w:val="nil"/>
              <w:bottom w:val="single" w:sz="6" w:space="0" w:color="000000"/>
              <w:right w:val="single" w:sz="6" w:space="0" w:color="000000"/>
            </w:tcBorders>
            <w:vAlign w:val="center"/>
            <w:hideMark/>
          </w:tcPr>
          <w:p w14:paraId="355FB20D" w14:textId="77777777" w:rsidR="00144BD4" w:rsidRPr="00144BD4" w:rsidRDefault="00144BD4">
            <w:pPr>
              <w:rPr>
                <w:rFonts w:ascii="Times New Roman" w:hAnsi="Times New Roman" w:cs="Times New Roman"/>
                <w:sz w:val="26"/>
                <w:szCs w:val="26"/>
              </w:rPr>
            </w:pPr>
          </w:p>
        </w:tc>
        <w:tc>
          <w:tcPr>
            <w:tcW w:w="1694" w:type="pct"/>
            <w:tcBorders>
              <w:top w:val="nil"/>
              <w:left w:val="nil"/>
              <w:bottom w:val="single" w:sz="6" w:space="0" w:color="000000"/>
              <w:right w:val="single" w:sz="6" w:space="0" w:color="000000"/>
            </w:tcBorders>
            <w:shd w:val="clear" w:color="auto" w:fill="FFCC00"/>
            <w:vAlign w:val="center"/>
            <w:hideMark/>
          </w:tcPr>
          <w:p w14:paraId="333E6A33"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Cách 1</w:t>
            </w:r>
          </w:p>
        </w:tc>
        <w:tc>
          <w:tcPr>
            <w:tcW w:w="1196" w:type="pct"/>
            <w:tcBorders>
              <w:top w:val="nil"/>
              <w:left w:val="nil"/>
              <w:bottom w:val="single" w:sz="6" w:space="0" w:color="000000"/>
              <w:right w:val="single" w:sz="6" w:space="0" w:color="000000"/>
            </w:tcBorders>
            <w:shd w:val="clear" w:color="auto" w:fill="FFCC00"/>
            <w:vAlign w:val="center"/>
            <w:hideMark/>
          </w:tcPr>
          <w:p w14:paraId="7C7CF952"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Cách 2</w:t>
            </w:r>
          </w:p>
        </w:tc>
      </w:tr>
      <w:tr w:rsidR="00144BD4" w:rsidRPr="00144BD4" w14:paraId="456BC2CB" w14:textId="77777777" w:rsidTr="00D76A33">
        <w:trPr>
          <w:jc w:val="center"/>
        </w:trPr>
        <w:tc>
          <w:tcPr>
            <w:tcW w:w="416" w:type="pct"/>
            <w:tcBorders>
              <w:top w:val="nil"/>
              <w:left w:val="single" w:sz="6" w:space="0" w:color="000000"/>
              <w:bottom w:val="single" w:sz="6" w:space="0" w:color="000000"/>
              <w:right w:val="single" w:sz="6" w:space="0" w:color="000000"/>
            </w:tcBorders>
            <w:hideMark/>
          </w:tcPr>
          <w:p w14:paraId="7B865AF4"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1</w:t>
            </w:r>
          </w:p>
        </w:tc>
        <w:tc>
          <w:tcPr>
            <w:tcW w:w="1196" w:type="pct"/>
            <w:tcBorders>
              <w:top w:val="nil"/>
              <w:left w:val="nil"/>
              <w:bottom w:val="single" w:sz="6" w:space="0" w:color="000000"/>
              <w:right w:val="single" w:sz="6" w:space="0" w:color="000000"/>
            </w:tcBorders>
            <w:hideMark/>
          </w:tcPr>
          <w:p w14:paraId="6C5C3A60" w14:textId="77777777" w:rsidR="00144BD4" w:rsidRPr="00144BD4" w:rsidRDefault="00144BD4">
            <w:pPr>
              <w:pStyle w:val="NormalWeb"/>
              <w:spacing w:before="0" w:beforeAutospacing="0" w:after="120" w:afterAutospacing="0"/>
              <w:jc w:val="both"/>
              <w:rPr>
                <w:sz w:val="26"/>
                <w:szCs w:val="26"/>
              </w:rPr>
            </w:pPr>
            <w:r w:rsidRPr="00144BD4">
              <w:rPr>
                <w:color w:val="000000"/>
                <w:sz w:val="26"/>
                <w:szCs w:val="26"/>
              </w:rPr>
              <w:t>Đến 5 triệu</w:t>
            </w:r>
          </w:p>
        </w:tc>
        <w:tc>
          <w:tcPr>
            <w:tcW w:w="498" w:type="pct"/>
            <w:tcBorders>
              <w:top w:val="nil"/>
              <w:left w:val="nil"/>
              <w:bottom w:val="single" w:sz="6" w:space="0" w:color="000000"/>
              <w:right w:val="single" w:sz="6" w:space="0" w:color="000000"/>
            </w:tcBorders>
            <w:hideMark/>
          </w:tcPr>
          <w:p w14:paraId="293858E8"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5%</w:t>
            </w:r>
          </w:p>
        </w:tc>
        <w:tc>
          <w:tcPr>
            <w:tcW w:w="1694" w:type="pct"/>
            <w:tcBorders>
              <w:top w:val="nil"/>
              <w:left w:val="nil"/>
              <w:bottom w:val="single" w:sz="6" w:space="0" w:color="000000"/>
              <w:right w:val="single" w:sz="6" w:space="0" w:color="000000"/>
            </w:tcBorders>
            <w:hideMark/>
          </w:tcPr>
          <w:p w14:paraId="71B782A3"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0 triệu + 5% TNTT</w:t>
            </w:r>
          </w:p>
        </w:tc>
        <w:tc>
          <w:tcPr>
            <w:tcW w:w="1196" w:type="pct"/>
            <w:tcBorders>
              <w:top w:val="nil"/>
              <w:left w:val="nil"/>
              <w:bottom w:val="single" w:sz="6" w:space="0" w:color="000000"/>
              <w:right w:val="single" w:sz="6" w:space="0" w:color="000000"/>
            </w:tcBorders>
            <w:hideMark/>
          </w:tcPr>
          <w:p w14:paraId="281B968F"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5% TNTT</w:t>
            </w:r>
          </w:p>
        </w:tc>
      </w:tr>
      <w:tr w:rsidR="00144BD4" w:rsidRPr="00144BD4" w14:paraId="02C172CC" w14:textId="77777777" w:rsidTr="00D76A33">
        <w:trPr>
          <w:jc w:val="center"/>
        </w:trPr>
        <w:tc>
          <w:tcPr>
            <w:tcW w:w="416" w:type="pct"/>
            <w:tcBorders>
              <w:top w:val="nil"/>
              <w:left w:val="single" w:sz="6" w:space="0" w:color="000000"/>
              <w:bottom w:val="single" w:sz="6" w:space="0" w:color="000000"/>
              <w:right w:val="single" w:sz="6" w:space="0" w:color="000000"/>
            </w:tcBorders>
            <w:hideMark/>
          </w:tcPr>
          <w:p w14:paraId="521CAD3A"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2</w:t>
            </w:r>
          </w:p>
        </w:tc>
        <w:tc>
          <w:tcPr>
            <w:tcW w:w="1196" w:type="pct"/>
            <w:tcBorders>
              <w:top w:val="nil"/>
              <w:left w:val="nil"/>
              <w:bottom w:val="single" w:sz="6" w:space="0" w:color="000000"/>
              <w:right w:val="single" w:sz="6" w:space="0" w:color="000000"/>
            </w:tcBorders>
            <w:hideMark/>
          </w:tcPr>
          <w:p w14:paraId="312E6EDA" w14:textId="77777777" w:rsidR="00144BD4" w:rsidRPr="00144BD4" w:rsidRDefault="00144BD4">
            <w:pPr>
              <w:pStyle w:val="NormalWeb"/>
              <w:spacing w:before="0" w:beforeAutospacing="0" w:after="120" w:afterAutospacing="0"/>
              <w:jc w:val="both"/>
              <w:rPr>
                <w:sz w:val="26"/>
                <w:szCs w:val="26"/>
              </w:rPr>
            </w:pPr>
            <w:r w:rsidRPr="00144BD4">
              <w:rPr>
                <w:color w:val="000000"/>
                <w:sz w:val="26"/>
                <w:szCs w:val="26"/>
              </w:rPr>
              <w:t>Trên 5 triệu đến 10 triệu</w:t>
            </w:r>
          </w:p>
        </w:tc>
        <w:tc>
          <w:tcPr>
            <w:tcW w:w="498" w:type="pct"/>
            <w:tcBorders>
              <w:top w:val="nil"/>
              <w:left w:val="nil"/>
              <w:bottom w:val="single" w:sz="6" w:space="0" w:color="000000"/>
              <w:right w:val="single" w:sz="6" w:space="0" w:color="000000"/>
            </w:tcBorders>
            <w:hideMark/>
          </w:tcPr>
          <w:p w14:paraId="5D5F606F"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10%</w:t>
            </w:r>
          </w:p>
        </w:tc>
        <w:tc>
          <w:tcPr>
            <w:tcW w:w="1694" w:type="pct"/>
            <w:tcBorders>
              <w:top w:val="nil"/>
              <w:left w:val="nil"/>
              <w:bottom w:val="single" w:sz="6" w:space="0" w:color="000000"/>
              <w:right w:val="single" w:sz="6" w:space="0" w:color="000000"/>
            </w:tcBorders>
            <w:hideMark/>
          </w:tcPr>
          <w:p w14:paraId="2F0367DA"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0,25 triệu + 10% TNTT trên 5 triệu</w:t>
            </w:r>
          </w:p>
        </w:tc>
        <w:tc>
          <w:tcPr>
            <w:tcW w:w="1196" w:type="pct"/>
            <w:tcBorders>
              <w:top w:val="nil"/>
              <w:left w:val="nil"/>
              <w:bottom w:val="single" w:sz="6" w:space="0" w:color="000000"/>
              <w:right w:val="single" w:sz="6" w:space="0" w:color="000000"/>
            </w:tcBorders>
            <w:hideMark/>
          </w:tcPr>
          <w:p w14:paraId="30B3F4C2"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10% TNTT - 0,25 triệu</w:t>
            </w:r>
          </w:p>
        </w:tc>
      </w:tr>
      <w:tr w:rsidR="00144BD4" w:rsidRPr="00144BD4" w14:paraId="30EBCB71" w14:textId="77777777" w:rsidTr="00D76A33">
        <w:trPr>
          <w:jc w:val="center"/>
        </w:trPr>
        <w:tc>
          <w:tcPr>
            <w:tcW w:w="416" w:type="pct"/>
            <w:tcBorders>
              <w:top w:val="nil"/>
              <w:left w:val="single" w:sz="6" w:space="0" w:color="000000"/>
              <w:bottom w:val="single" w:sz="6" w:space="0" w:color="000000"/>
              <w:right w:val="single" w:sz="6" w:space="0" w:color="000000"/>
            </w:tcBorders>
            <w:hideMark/>
          </w:tcPr>
          <w:p w14:paraId="525DB80D"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3</w:t>
            </w:r>
          </w:p>
        </w:tc>
        <w:tc>
          <w:tcPr>
            <w:tcW w:w="1196" w:type="pct"/>
            <w:tcBorders>
              <w:top w:val="nil"/>
              <w:left w:val="nil"/>
              <w:bottom w:val="single" w:sz="6" w:space="0" w:color="000000"/>
              <w:right w:val="single" w:sz="6" w:space="0" w:color="000000"/>
            </w:tcBorders>
            <w:hideMark/>
          </w:tcPr>
          <w:p w14:paraId="706AB08D" w14:textId="77777777" w:rsidR="00144BD4" w:rsidRPr="00144BD4" w:rsidRDefault="00144BD4">
            <w:pPr>
              <w:pStyle w:val="NormalWeb"/>
              <w:spacing w:before="0" w:beforeAutospacing="0" w:after="120" w:afterAutospacing="0"/>
              <w:jc w:val="both"/>
              <w:rPr>
                <w:sz w:val="26"/>
                <w:szCs w:val="26"/>
              </w:rPr>
            </w:pPr>
            <w:r w:rsidRPr="00144BD4">
              <w:rPr>
                <w:color w:val="000000"/>
                <w:sz w:val="26"/>
                <w:szCs w:val="26"/>
              </w:rPr>
              <w:t>Trên 10 triệu đến 18 triệu</w:t>
            </w:r>
          </w:p>
        </w:tc>
        <w:tc>
          <w:tcPr>
            <w:tcW w:w="498" w:type="pct"/>
            <w:tcBorders>
              <w:top w:val="nil"/>
              <w:left w:val="nil"/>
              <w:bottom w:val="single" w:sz="6" w:space="0" w:color="000000"/>
              <w:right w:val="single" w:sz="6" w:space="0" w:color="000000"/>
            </w:tcBorders>
            <w:hideMark/>
          </w:tcPr>
          <w:p w14:paraId="4803FC4C"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15%</w:t>
            </w:r>
          </w:p>
        </w:tc>
        <w:tc>
          <w:tcPr>
            <w:tcW w:w="1694" w:type="pct"/>
            <w:tcBorders>
              <w:top w:val="nil"/>
              <w:left w:val="nil"/>
              <w:bottom w:val="single" w:sz="6" w:space="0" w:color="000000"/>
              <w:right w:val="single" w:sz="6" w:space="0" w:color="000000"/>
            </w:tcBorders>
            <w:hideMark/>
          </w:tcPr>
          <w:p w14:paraId="5BF2B8D0"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0,75 triệu + 15% TNTT trên 10 triệu</w:t>
            </w:r>
          </w:p>
        </w:tc>
        <w:tc>
          <w:tcPr>
            <w:tcW w:w="1196" w:type="pct"/>
            <w:tcBorders>
              <w:top w:val="nil"/>
              <w:left w:val="nil"/>
              <w:bottom w:val="single" w:sz="6" w:space="0" w:color="000000"/>
              <w:right w:val="single" w:sz="6" w:space="0" w:color="000000"/>
            </w:tcBorders>
            <w:hideMark/>
          </w:tcPr>
          <w:p w14:paraId="09A8EF2A"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15% TNTT - 0,75 triệu</w:t>
            </w:r>
          </w:p>
        </w:tc>
      </w:tr>
      <w:tr w:rsidR="00144BD4" w:rsidRPr="00144BD4" w14:paraId="712036C7" w14:textId="77777777" w:rsidTr="00D76A33">
        <w:trPr>
          <w:jc w:val="center"/>
        </w:trPr>
        <w:tc>
          <w:tcPr>
            <w:tcW w:w="416" w:type="pct"/>
            <w:tcBorders>
              <w:top w:val="nil"/>
              <w:left w:val="single" w:sz="6" w:space="0" w:color="000000"/>
              <w:bottom w:val="single" w:sz="6" w:space="0" w:color="000000"/>
              <w:right w:val="single" w:sz="6" w:space="0" w:color="000000"/>
            </w:tcBorders>
            <w:hideMark/>
          </w:tcPr>
          <w:p w14:paraId="60E875D5"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4</w:t>
            </w:r>
          </w:p>
        </w:tc>
        <w:tc>
          <w:tcPr>
            <w:tcW w:w="1196" w:type="pct"/>
            <w:tcBorders>
              <w:top w:val="nil"/>
              <w:left w:val="nil"/>
              <w:bottom w:val="single" w:sz="6" w:space="0" w:color="000000"/>
              <w:right w:val="single" w:sz="6" w:space="0" w:color="000000"/>
            </w:tcBorders>
            <w:hideMark/>
          </w:tcPr>
          <w:p w14:paraId="50FD46AB" w14:textId="77777777" w:rsidR="00144BD4" w:rsidRPr="00144BD4" w:rsidRDefault="00144BD4">
            <w:pPr>
              <w:pStyle w:val="NormalWeb"/>
              <w:spacing w:before="0" w:beforeAutospacing="0" w:after="120" w:afterAutospacing="0"/>
              <w:jc w:val="both"/>
              <w:rPr>
                <w:sz w:val="26"/>
                <w:szCs w:val="26"/>
              </w:rPr>
            </w:pPr>
            <w:r w:rsidRPr="00144BD4">
              <w:rPr>
                <w:color w:val="000000"/>
                <w:sz w:val="26"/>
                <w:szCs w:val="26"/>
              </w:rPr>
              <w:t>Trên 18 triệu đến 32 triệu</w:t>
            </w:r>
          </w:p>
        </w:tc>
        <w:tc>
          <w:tcPr>
            <w:tcW w:w="498" w:type="pct"/>
            <w:tcBorders>
              <w:top w:val="nil"/>
              <w:left w:val="nil"/>
              <w:bottom w:val="single" w:sz="6" w:space="0" w:color="000000"/>
              <w:right w:val="single" w:sz="6" w:space="0" w:color="000000"/>
            </w:tcBorders>
            <w:hideMark/>
          </w:tcPr>
          <w:p w14:paraId="1F8CE33E"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20%</w:t>
            </w:r>
          </w:p>
        </w:tc>
        <w:tc>
          <w:tcPr>
            <w:tcW w:w="1694" w:type="pct"/>
            <w:tcBorders>
              <w:top w:val="nil"/>
              <w:left w:val="nil"/>
              <w:bottom w:val="single" w:sz="6" w:space="0" w:color="000000"/>
              <w:right w:val="single" w:sz="6" w:space="0" w:color="000000"/>
            </w:tcBorders>
            <w:hideMark/>
          </w:tcPr>
          <w:p w14:paraId="7AF6822F"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1,95 triệu + 20% TNTT trên 18 triệu</w:t>
            </w:r>
          </w:p>
        </w:tc>
        <w:tc>
          <w:tcPr>
            <w:tcW w:w="1196" w:type="pct"/>
            <w:tcBorders>
              <w:top w:val="nil"/>
              <w:left w:val="nil"/>
              <w:bottom w:val="single" w:sz="6" w:space="0" w:color="000000"/>
              <w:right w:val="single" w:sz="6" w:space="0" w:color="000000"/>
            </w:tcBorders>
            <w:hideMark/>
          </w:tcPr>
          <w:p w14:paraId="5DED3BE9"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20% TNTT - 1,65 triệu</w:t>
            </w:r>
          </w:p>
        </w:tc>
      </w:tr>
      <w:tr w:rsidR="00144BD4" w:rsidRPr="00144BD4" w14:paraId="2957D518" w14:textId="77777777" w:rsidTr="00D76A33">
        <w:trPr>
          <w:jc w:val="center"/>
        </w:trPr>
        <w:tc>
          <w:tcPr>
            <w:tcW w:w="416" w:type="pct"/>
            <w:tcBorders>
              <w:top w:val="nil"/>
              <w:left w:val="single" w:sz="6" w:space="0" w:color="000000"/>
              <w:bottom w:val="single" w:sz="6" w:space="0" w:color="000000"/>
              <w:right w:val="single" w:sz="6" w:space="0" w:color="000000"/>
            </w:tcBorders>
            <w:hideMark/>
          </w:tcPr>
          <w:p w14:paraId="7BE26806"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5</w:t>
            </w:r>
          </w:p>
        </w:tc>
        <w:tc>
          <w:tcPr>
            <w:tcW w:w="1196" w:type="pct"/>
            <w:tcBorders>
              <w:top w:val="nil"/>
              <w:left w:val="nil"/>
              <w:bottom w:val="single" w:sz="6" w:space="0" w:color="000000"/>
              <w:right w:val="single" w:sz="6" w:space="0" w:color="000000"/>
            </w:tcBorders>
            <w:hideMark/>
          </w:tcPr>
          <w:p w14:paraId="37BDB893" w14:textId="77777777" w:rsidR="00144BD4" w:rsidRPr="00144BD4" w:rsidRDefault="00144BD4">
            <w:pPr>
              <w:pStyle w:val="NormalWeb"/>
              <w:spacing w:before="0" w:beforeAutospacing="0" w:after="120" w:afterAutospacing="0"/>
              <w:jc w:val="both"/>
              <w:rPr>
                <w:sz w:val="26"/>
                <w:szCs w:val="26"/>
              </w:rPr>
            </w:pPr>
            <w:r w:rsidRPr="00144BD4">
              <w:rPr>
                <w:color w:val="000000"/>
                <w:sz w:val="26"/>
                <w:szCs w:val="26"/>
              </w:rPr>
              <w:t>Trên 32 triệu đến 52 triệu</w:t>
            </w:r>
          </w:p>
        </w:tc>
        <w:tc>
          <w:tcPr>
            <w:tcW w:w="498" w:type="pct"/>
            <w:tcBorders>
              <w:top w:val="nil"/>
              <w:left w:val="nil"/>
              <w:bottom w:val="single" w:sz="6" w:space="0" w:color="000000"/>
              <w:right w:val="single" w:sz="6" w:space="0" w:color="000000"/>
            </w:tcBorders>
            <w:hideMark/>
          </w:tcPr>
          <w:p w14:paraId="045EA5C4"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25%</w:t>
            </w:r>
          </w:p>
        </w:tc>
        <w:tc>
          <w:tcPr>
            <w:tcW w:w="1694" w:type="pct"/>
            <w:tcBorders>
              <w:top w:val="nil"/>
              <w:left w:val="nil"/>
              <w:bottom w:val="single" w:sz="6" w:space="0" w:color="000000"/>
              <w:right w:val="single" w:sz="6" w:space="0" w:color="000000"/>
            </w:tcBorders>
            <w:hideMark/>
          </w:tcPr>
          <w:p w14:paraId="3E09F2D2"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4,75 triệu + 25% TNTT trên 32 triệu</w:t>
            </w:r>
          </w:p>
        </w:tc>
        <w:tc>
          <w:tcPr>
            <w:tcW w:w="1196" w:type="pct"/>
            <w:tcBorders>
              <w:top w:val="nil"/>
              <w:left w:val="nil"/>
              <w:bottom w:val="single" w:sz="6" w:space="0" w:color="000000"/>
              <w:right w:val="single" w:sz="6" w:space="0" w:color="000000"/>
            </w:tcBorders>
            <w:hideMark/>
          </w:tcPr>
          <w:p w14:paraId="1EB538FC"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25% TNTT - 3,25 triệu</w:t>
            </w:r>
          </w:p>
        </w:tc>
      </w:tr>
      <w:tr w:rsidR="00144BD4" w:rsidRPr="00144BD4" w14:paraId="5549EC57" w14:textId="77777777" w:rsidTr="00D76A33">
        <w:trPr>
          <w:jc w:val="center"/>
        </w:trPr>
        <w:tc>
          <w:tcPr>
            <w:tcW w:w="416" w:type="pct"/>
            <w:tcBorders>
              <w:top w:val="nil"/>
              <w:left w:val="single" w:sz="6" w:space="0" w:color="000000"/>
              <w:bottom w:val="single" w:sz="6" w:space="0" w:color="000000"/>
              <w:right w:val="single" w:sz="6" w:space="0" w:color="000000"/>
            </w:tcBorders>
            <w:hideMark/>
          </w:tcPr>
          <w:p w14:paraId="2996C061"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6</w:t>
            </w:r>
          </w:p>
        </w:tc>
        <w:tc>
          <w:tcPr>
            <w:tcW w:w="1196" w:type="pct"/>
            <w:tcBorders>
              <w:top w:val="nil"/>
              <w:left w:val="nil"/>
              <w:bottom w:val="single" w:sz="6" w:space="0" w:color="000000"/>
              <w:right w:val="single" w:sz="6" w:space="0" w:color="000000"/>
            </w:tcBorders>
            <w:hideMark/>
          </w:tcPr>
          <w:p w14:paraId="175F07BB" w14:textId="77777777" w:rsidR="00144BD4" w:rsidRPr="00144BD4" w:rsidRDefault="00144BD4">
            <w:pPr>
              <w:pStyle w:val="NormalWeb"/>
              <w:spacing w:before="0" w:beforeAutospacing="0" w:after="120" w:afterAutospacing="0"/>
              <w:jc w:val="both"/>
              <w:rPr>
                <w:sz w:val="26"/>
                <w:szCs w:val="26"/>
              </w:rPr>
            </w:pPr>
            <w:r w:rsidRPr="00144BD4">
              <w:rPr>
                <w:color w:val="000000"/>
                <w:sz w:val="26"/>
                <w:szCs w:val="26"/>
              </w:rPr>
              <w:t>Trên 52 triệu đến 80 triệu</w:t>
            </w:r>
          </w:p>
        </w:tc>
        <w:tc>
          <w:tcPr>
            <w:tcW w:w="498" w:type="pct"/>
            <w:tcBorders>
              <w:top w:val="nil"/>
              <w:left w:val="nil"/>
              <w:bottom w:val="single" w:sz="6" w:space="0" w:color="000000"/>
              <w:right w:val="single" w:sz="6" w:space="0" w:color="000000"/>
            </w:tcBorders>
            <w:hideMark/>
          </w:tcPr>
          <w:p w14:paraId="33B85724"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30%</w:t>
            </w:r>
          </w:p>
        </w:tc>
        <w:tc>
          <w:tcPr>
            <w:tcW w:w="1694" w:type="pct"/>
            <w:tcBorders>
              <w:top w:val="nil"/>
              <w:left w:val="nil"/>
              <w:bottom w:val="single" w:sz="6" w:space="0" w:color="000000"/>
              <w:right w:val="single" w:sz="6" w:space="0" w:color="000000"/>
            </w:tcBorders>
            <w:hideMark/>
          </w:tcPr>
          <w:p w14:paraId="41F3E17C"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9,75 triệu + 30% TNTT trên 52 triệu</w:t>
            </w:r>
          </w:p>
        </w:tc>
        <w:tc>
          <w:tcPr>
            <w:tcW w:w="1196" w:type="pct"/>
            <w:tcBorders>
              <w:top w:val="nil"/>
              <w:left w:val="nil"/>
              <w:bottom w:val="single" w:sz="6" w:space="0" w:color="000000"/>
              <w:right w:val="single" w:sz="6" w:space="0" w:color="000000"/>
            </w:tcBorders>
            <w:hideMark/>
          </w:tcPr>
          <w:p w14:paraId="441E30FB"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30 % TNTT - 5,85 triệu</w:t>
            </w:r>
          </w:p>
        </w:tc>
      </w:tr>
      <w:tr w:rsidR="00144BD4" w:rsidRPr="00144BD4" w14:paraId="6AE52CB0" w14:textId="77777777" w:rsidTr="00D76A33">
        <w:trPr>
          <w:jc w:val="center"/>
        </w:trPr>
        <w:tc>
          <w:tcPr>
            <w:tcW w:w="416" w:type="pct"/>
            <w:tcBorders>
              <w:top w:val="nil"/>
              <w:left w:val="single" w:sz="6" w:space="0" w:color="000000"/>
              <w:bottom w:val="single" w:sz="6" w:space="0" w:color="000000"/>
              <w:right w:val="single" w:sz="6" w:space="0" w:color="000000"/>
            </w:tcBorders>
            <w:hideMark/>
          </w:tcPr>
          <w:p w14:paraId="0FFCB9AC"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7</w:t>
            </w:r>
          </w:p>
        </w:tc>
        <w:tc>
          <w:tcPr>
            <w:tcW w:w="1196" w:type="pct"/>
            <w:tcBorders>
              <w:top w:val="nil"/>
              <w:left w:val="nil"/>
              <w:bottom w:val="single" w:sz="6" w:space="0" w:color="000000"/>
              <w:right w:val="single" w:sz="6" w:space="0" w:color="000000"/>
            </w:tcBorders>
            <w:hideMark/>
          </w:tcPr>
          <w:p w14:paraId="6D6BBCD2" w14:textId="77777777" w:rsidR="00144BD4" w:rsidRPr="00144BD4" w:rsidRDefault="00144BD4">
            <w:pPr>
              <w:pStyle w:val="NormalWeb"/>
              <w:spacing w:before="0" w:beforeAutospacing="0" w:after="120" w:afterAutospacing="0"/>
              <w:jc w:val="both"/>
              <w:rPr>
                <w:sz w:val="26"/>
                <w:szCs w:val="26"/>
              </w:rPr>
            </w:pPr>
            <w:r w:rsidRPr="00144BD4">
              <w:rPr>
                <w:color w:val="000000"/>
                <w:sz w:val="26"/>
                <w:szCs w:val="26"/>
              </w:rPr>
              <w:t>Trên 80 triệu</w:t>
            </w:r>
          </w:p>
        </w:tc>
        <w:tc>
          <w:tcPr>
            <w:tcW w:w="498" w:type="pct"/>
            <w:tcBorders>
              <w:top w:val="nil"/>
              <w:left w:val="nil"/>
              <w:bottom w:val="single" w:sz="6" w:space="0" w:color="000000"/>
              <w:right w:val="single" w:sz="6" w:space="0" w:color="000000"/>
            </w:tcBorders>
            <w:hideMark/>
          </w:tcPr>
          <w:p w14:paraId="5937AD1D"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35%</w:t>
            </w:r>
          </w:p>
        </w:tc>
        <w:tc>
          <w:tcPr>
            <w:tcW w:w="1694" w:type="pct"/>
            <w:tcBorders>
              <w:top w:val="nil"/>
              <w:left w:val="nil"/>
              <w:bottom w:val="single" w:sz="6" w:space="0" w:color="000000"/>
              <w:right w:val="single" w:sz="6" w:space="0" w:color="000000"/>
            </w:tcBorders>
            <w:hideMark/>
          </w:tcPr>
          <w:p w14:paraId="47F90FDF"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18,15 triệu + 35% TNTT trên 80 triệu</w:t>
            </w:r>
          </w:p>
        </w:tc>
        <w:tc>
          <w:tcPr>
            <w:tcW w:w="1196" w:type="pct"/>
            <w:tcBorders>
              <w:top w:val="nil"/>
              <w:left w:val="nil"/>
              <w:bottom w:val="single" w:sz="6" w:space="0" w:color="000000"/>
              <w:right w:val="single" w:sz="6" w:space="0" w:color="000000"/>
            </w:tcBorders>
            <w:hideMark/>
          </w:tcPr>
          <w:p w14:paraId="38E2ABCA"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35% TNTT - 9,85 triệu</w:t>
            </w:r>
          </w:p>
        </w:tc>
      </w:tr>
    </w:tbl>
    <w:p w14:paraId="74F040A3"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rStyle w:val="Strong"/>
          <w:color w:val="000000"/>
          <w:spacing w:val="2"/>
          <w:sz w:val="26"/>
          <w:szCs w:val="26"/>
          <w:u w:val="single"/>
          <w:shd w:val="clear" w:color="auto" w:fill="FFFFFF"/>
        </w:rPr>
        <w:t>Trường hợp 2:</w:t>
      </w:r>
      <w:r w:rsidRPr="00144BD4">
        <w:rPr>
          <w:rStyle w:val="Emphasis"/>
          <w:color w:val="212529"/>
          <w:spacing w:val="2"/>
          <w:sz w:val="26"/>
          <w:szCs w:val="26"/>
          <w:shd w:val="clear" w:color="auto" w:fill="FFFFFF"/>
        </w:rPr>
        <w:t> </w:t>
      </w:r>
      <w:r w:rsidRPr="00144BD4">
        <w:rPr>
          <w:color w:val="000000"/>
          <w:spacing w:val="2"/>
          <w:sz w:val="26"/>
          <w:szCs w:val="26"/>
          <w:shd w:val="clear" w:color="auto" w:fill="FFFFFF"/>
        </w:rPr>
        <w:t>Cá nhân cư trú không ký hợp đồng lao động hoặc ký hợp đồng lao động dưới 03 tháng:</w:t>
      </w:r>
    </w:p>
    <w:p w14:paraId="3FECB237"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color w:val="000000"/>
          <w:spacing w:val="2"/>
          <w:sz w:val="26"/>
          <w:szCs w:val="26"/>
          <w:shd w:val="clear" w:color="auto" w:fill="FFFFFF"/>
        </w:rPr>
        <w:t>Căn cứ điểm i khoản 1 Điều 25 </w:t>
      </w:r>
      <w:hyperlink r:id="rId10" w:tgtFrame="_blank" w:history="1">
        <w:r w:rsidRPr="00144BD4">
          <w:rPr>
            <w:rStyle w:val="Hyperlink"/>
            <w:rFonts w:eastAsiaTheme="majorEastAsia"/>
            <w:color w:val="00B1E1"/>
            <w:spacing w:val="2"/>
            <w:sz w:val="26"/>
            <w:szCs w:val="26"/>
          </w:rPr>
          <w:t>Thông tư 111/2013/TT-BTC</w:t>
        </w:r>
      </w:hyperlink>
      <w:r w:rsidRPr="00144BD4">
        <w:rPr>
          <w:color w:val="212529"/>
          <w:spacing w:val="2"/>
          <w:sz w:val="26"/>
          <w:szCs w:val="26"/>
          <w:shd w:val="clear" w:color="auto" w:fill="FFFFFF"/>
        </w:rPr>
        <w:t>, cá nhân cư trú không ký hợp đồng lao động hoặc có ký nhưng thời hạn dưới 03 tháng mà có tổng mức trả thu nhập từ tiền lương, tiền công từ 2 triệu đồng/lần trở lên thì phải </w:t>
      </w:r>
      <w:r w:rsidRPr="00144BD4">
        <w:rPr>
          <w:color w:val="000000"/>
          <w:spacing w:val="2"/>
          <w:sz w:val="26"/>
          <w:szCs w:val="26"/>
          <w:shd w:val="clear" w:color="auto" w:fill="FFFFFF"/>
        </w:rPr>
        <w:t>đóng thuế TNCN theo mức thuế suất 10%.</w:t>
      </w:r>
    </w:p>
    <w:p w14:paraId="767DAB57"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rStyle w:val="Strong"/>
          <w:color w:val="000000"/>
          <w:spacing w:val="2"/>
          <w:sz w:val="26"/>
          <w:szCs w:val="26"/>
          <w:shd w:val="clear" w:color="auto" w:fill="FFFFFF"/>
        </w:rPr>
        <w:t>Lưu ý:</w:t>
      </w:r>
      <w:r w:rsidRPr="00144BD4">
        <w:rPr>
          <w:color w:val="000000"/>
          <w:spacing w:val="2"/>
          <w:sz w:val="26"/>
          <w:szCs w:val="26"/>
          <w:shd w:val="clear" w:color="auto" w:fill="FFFFFF"/>
        </w:rPr>
        <w:t> Nếu cá nhân chỉ có duy nhất thu nhập thuộc đối tượng phải khấu trừ thuế theo tỷ lệ 10% nêu trên nhưng ước tính tổng mức thu nhập chịu thuế của cá nhân sau khi trừ gia cảnh chưa đến mức phải nộp thuế thì cá nhân có thu nhập làm cam kết (theo Mẫu 08/CK-TNCN tại Phụ lục II ban hành kèm theo </w:t>
      </w:r>
      <w:hyperlink r:id="rId11" w:tgtFrame="_blank" w:history="1">
        <w:r w:rsidRPr="00144BD4">
          <w:rPr>
            <w:rStyle w:val="Hyperlink"/>
            <w:rFonts w:eastAsiaTheme="majorEastAsia"/>
            <w:color w:val="00B1E1"/>
            <w:spacing w:val="2"/>
            <w:sz w:val="26"/>
            <w:szCs w:val="26"/>
          </w:rPr>
          <w:t>Thông tư 80/2021/TT-BTC</w:t>
        </w:r>
      </w:hyperlink>
      <w:r w:rsidRPr="00144BD4">
        <w:rPr>
          <w:color w:val="000000"/>
          <w:spacing w:val="2"/>
          <w:sz w:val="26"/>
          <w:szCs w:val="26"/>
          <w:shd w:val="clear" w:color="auto" w:fill="FFFFFF"/>
        </w:rPr>
        <w:t>) gửi tổ chức trả thu nhập để tổ chức trả thu nhập làm căn cứ tạm thời chưa khấu trừ thuế thu nhập cá nhân.</w:t>
      </w:r>
    </w:p>
    <w:p w14:paraId="4E230DC2" w14:textId="77777777" w:rsidR="00144BD4" w:rsidRPr="00D76A33" w:rsidRDefault="00144BD4" w:rsidP="00144BD4">
      <w:pPr>
        <w:pStyle w:val="Heading3"/>
        <w:shd w:val="clear" w:color="auto" w:fill="FFFFFF"/>
        <w:spacing w:before="0" w:line="300" w:lineRule="atLeast"/>
        <w:jc w:val="both"/>
        <w:rPr>
          <w:rFonts w:ascii="Times New Roman" w:hAnsi="Times New Roman" w:cs="Times New Roman"/>
          <w:color w:val="212529"/>
          <w:spacing w:val="2"/>
          <w:sz w:val="26"/>
          <w:szCs w:val="26"/>
        </w:rPr>
      </w:pPr>
      <w:r w:rsidRPr="00D76A33">
        <w:rPr>
          <w:rStyle w:val="Strong"/>
          <w:rFonts w:ascii="Times New Roman" w:hAnsi="Times New Roman" w:cs="Times New Roman"/>
          <w:color w:val="000000"/>
          <w:spacing w:val="2"/>
          <w:sz w:val="26"/>
          <w:szCs w:val="26"/>
          <w:shd w:val="clear" w:color="auto" w:fill="FFFFFF"/>
        </w:rPr>
        <w:t>2.2. Đối với cá nhân không cư trú</w:t>
      </w:r>
    </w:p>
    <w:p w14:paraId="31D3ADB5"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color w:val="000000"/>
          <w:spacing w:val="2"/>
          <w:sz w:val="26"/>
          <w:szCs w:val="26"/>
          <w:shd w:val="clear" w:color="auto" w:fill="FFFFFF"/>
        </w:rPr>
        <w:t>Theo Điều 18 </w:t>
      </w:r>
      <w:hyperlink r:id="rId12" w:tgtFrame="_blank" w:history="1">
        <w:r w:rsidRPr="00144BD4">
          <w:rPr>
            <w:rStyle w:val="Hyperlink"/>
            <w:rFonts w:eastAsiaTheme="majorEastAsia"/>
            <w:color w:val="00B1E1"/>
            <w:spacing w:val="2"/>
            <w:sz w:val="26"/>
            <w:szCs w:val="26"/>
          </w:rPr>
          <w:t>Thông tư 111/2013/TT-BTC</w:t>
        </w:r>
      </w:hyperlink>
      <w:r w:rsidRPr="00144BD4">
        <w:rPr>
          <w:color w:val="212529"/>
          <w:spacing w:val="2"/>
          <w:sz w:val="26"/>
          <w:szCs w:val="26"/>
          <w:shd w:val="clear" w:color="auto" w:fill="FFFFFF"/>
        </w:rPr>
        <w:t>, thuế</w:t>
      </w:r>
      <w:r w:rsidRPr="00144BD4">
        <w:rPr>
          <w:color w:val="000000"/>
          <w:spacing w:val="2"/>
          <w:sz w:val="26"/>
          <w:szCs w:val="26"/>
          <w:shd w:val="clear" w:color="auto" w:fill="FFFFFF"/>
        </w:rPr>
        <w:t> TNCN từ tiền lương, tiền công của cá nhân không cư trú được xác định như sau:</w:t>
      </w:r>
    </w:p>
    <w:tbl>
      <w:tblPr>
        <w:tblW w:w="0" w:type="auto"/>
        <w:jc w:val="center"/>
        <w:tblCellMar>
          <w:top w:w="75" w:type="dxa"/>
          <w:left w:w="75" w:type="dxa"/>
          <w:bottom w:w="75" w:type="dxa"/>
          <w:right w:w="75" w:type="dxa"/>
        </w:tblCellMar>
        <w:tblLook w:val="04A0" w:firstRow="1" w:lastRow="0" w:firstColumn="1" w:lastColumn="0" w:noHBand="0" w:noVBand="1"/>
      </w:tblPr>
      <w:tblGrid>
        <w:gridCol w:w="2655"/>
        <w:gridCol w:w="570"/>
        <w:gridCol w:w="2520"/>
        <w:gridCol w:w="1020"/>
        <w:gridCol w:w="1275"/>
      </w:tblGrid>
      <w:tr w:rsidR="00144BD4" w:rsidRPr="00144BD4" w14:paraId="47F90E74" w14:textId="77777777" w:rsidTr="00144BD4">
        <w:trPr>
          <w:jc w:val="center"/>
        </w:trPr>
        <w:tc>
          <w:tcPr>
            <w:tcW w:w="2655" w:type="dxa"/>
            <w:vAlign w:val="center"/>
            <w:hideMark/>
          </w:tcPr>
          <w:p w14:paraId="20BBD79E"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Thuế TNCN từ tiền lương, tiền công</w:t>
            </w:r>
          </w:p>
        </w:tc>
        <w:tc>
          <w:tcPr>
            <w:tcW w:w="570" w:type="dxa"/>
            <w:vAlign w:val="center"/>
            <w:hideMark/>
          </w:tcPr>
          <w:p w14:paraId="614B7A39"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w:t>
            </w:r>
          </w:p>
        </w:tc>
        <w:tc>
          <w:tcPr>
            <w:tcW w:w="2520" w:type="dxa"/>
            <w:vAlign w:val="center"/>
            <w:hideMark/>
          </w:tcPr>
          <w:p w14:paraId="279CD4E5"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Thu nhập chịu thuế từ tiền lương, tiền công</w:t>
            </w:r>
          </w:p>
        </w:tc>
        <w:tc>
          <w:tcPr>
            <w:tcW w:w="1020" w:type="dxa"/>
            <w:vAlign w:val="center"/>
            <w:hideMark/>
          </w:tcPr>
          <w:p w14:paraId="46A01627" w14:textId="77777777" w:rsidR="00144BD4" w:rsidRPr="00144BD4" w:rsidRDefault="00144BD4">
            <w:pPr>
              <w:pStyle w:val="NormalWeb"/>
              <w:spacing w:before="0" w:beforeAutospacing="0" w:after="120" w:afterAutospacing="0"/>
              <w:jc w:val="center"/>
              <w:rPr>
                <w:sz w:val="26"/>
                <w:szCs w:val="26"/>
              </w:rPr>
            </w:pPr>
            <w:r w:rsidRPr="00144BD4">
              <w:rPr>
                <w:color w:val="000000"/>
                <w:sz w:val="26"/>
                <w:szCs w:val="26"/>
              </w:rPr>
              <w:t>x</w:t>
            </w:r>
          </w:p>
        </w:tc>
        <w:tc>
          <w:tcPr>
            <w:tcW w:w="1275" w:type="dxa"/>
            <w:vAlign w:val="center"/>
            <w:hideMark/>
          </w:tcPr>
          <w:p w14:paraId="067EC285"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shd w:val="clear" w:color="auto" w:fill="FFFFFF"/>
              </w:rPr>
              <w:t>Thuế suất 20%</w:t>
            </w:r>
          </w:p>
        </w:tc>
      </w:tr>
    </w:tbl>
    <w:p w14:paraId="38AC6370"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color w:val="000000"/>
          <w:spacing w:val="2"/>
          <w:sz w:val="26"/>
          <w:szCs w:val="26"/>
          <w:shd w:val="clear" w:color="auto" w:fill="FFFFFF"/>
        </w:rPr>
        <w:t>Trong đó:</w:t>
      </w:r>
    </w:p>
    <w:p w14:paraId="486F9DB9"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color w:val="000000"/>
          <w:spacing w:val="2"/>
          <w:sz w:val="26"/>
          <w:szCs w:val="26"/>
          <w:shd w:val="clear" w:color="auto" w:fill="FFFFFF"/>
        </w:rPr>
        <w:lastRenderedPageBreak/>
        <w:t>(i) Thu nhập chịu thuế từ tiền lương, tiền công</w:t>
      </w:r>
      <w:r w:rsidRPr="00144BD4">
        <w:rPr>
          <w:rStyle w:val="Strong"/>
          <w:color w:val="000000"/>
          <w:spacing w:val="2"/>
          <w:sz w:val="26"/>
          <w:szCs w:val="26"/>
          <w:shd w:val="clear" w:color="auto" w:fill="FFFFFF"/>
        </w:rPr>
        <w:t> </w:t>
      </w:r>
      <w:r w:rsidRPr="00144BD4">
        <w:rPr>
          <w:color w:val="000000"/>
          <w:spacing w:val="2"/>
          <w:sz w:val="26"/>
          <w:szCs w:val="26"/>
          <w:shd w:val="clear" w:color="auto" w:fill="FFFFFF"/>
        </w:rPr>
        <w:t>của cá nhân không cư trú được xác định như đối với thu nhập chịu thuế từ tiền lương, tiền công của cá nhân cư trú (xem hướng dẫn tại Mục 2.1 bên trên).</w:t>
      </w:r>
    </w:p>
    <w:p w14:paraId="7D029A78"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color w:val="000000"/>
          <w:spacing w:val="2"/>
          <w:sz w:val="26"/>
          <w:szCs w:val="26"/>
          <w:shd w:val="clear" w:color="auto" w:fill="FFFFFF"/>
        </w:rPr>
        <w:t>(ii) Việc xác định thu nhập chịu thuế thu nhập cá nhân từ tiền lương, tiền công tại Việt Nam trong trường hợp cá nhân không cư trú làm việc đồng thời ở Việt Nam và nước ngoài nhưng không tách riêng được phần thu nhập phát sinh tại Việt Nam  thực hiện theo công thức sau:</w:t>
      </w:r>
    </w:p>
    <w:p w14:paraId="67ECECBF"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rStyle w:val="Emphasis"/>
          <w:color w:val="000000"/>
          <w:spacing w:val="2"/>
          <w:sz w:val="26"/>
          <w:szCs w:val="26"/>
          <w:shd w:val="clear" w:color="auto" w:fill="FFFFFF"/>
        </w:rPr>
        <w:t>-</w:t>
      </w:r>
      <w:r w:rsidRPr="00144BD4">
        <w:rPr>
          <w:rStyle w:val="Emphasis"/>
          <w:color w:val="212529"/>
          <w:spacing w:val="2"/>
          <w:sz w:val="26"/>
          <w:szCs w:val="26"/>
          <w:shd w:val="clear" w:color="auto" w:fill="FFFFFF"/>
        </w:rPr>
        <w:t> </w:t>
      </w:r>
      <w:r w:rsidRPr="00144BD4">
        <w:rPr>
          <w:color w:val="000000"/>
          <w:spacing w:val="2"/>
          <w:sz w:val="26"/>
          <w:szCs w:val="26"/>
          <w:shd w:val="clear" w:color="auto" w:fill="FFFFFF"/>
        </w:rPr>
        <w:t>Đối với trường hợp cá nhân người nước ngoài không hiện diện tại Việt Nam:</w:t>
      </w:r>
    </w:p>
    <w:tbl>
      <w:tblPr>
        <w:tblW w:w="12000" w:type="dxa"/>
        <w:jc w:val="center"/>
        <w:tblCellMar>
          <w:top w:w="75" w:type="dxa"/>
          <w:left w:w="75" w:type="dxa"/>
          <w:bottom w:w="75" w:type="dxa"/>
          <w:right w:w="75" w:type="dxa"/>
        </w:tblCellMar>
        <w:tblLook w:val="04A0" w:firstRow="1" w:lastRow="0" w:firstColumn="1" w:lastColumn="0" w:noHBand="0" w:noVBand="1"/>
      </w:tblPr>
      <w:tblGrid>
        <w:gridCol w:w="2293"/>
        <w:gridCol w:w="631"/>
        <w:gridCol w:w="3382"/>
        <w:gridCol w:w="688"/>
        <w:gridCol w:w="2197"/>
        <w:gridCol w:w="631"/>
        <w:gridCol w:w="2178"/>
      </w:tblGrid>
      <w:tr w:rsidR="00144BD4" w:rsidRPr="00144BD4" w14:paraId="08978D8E" w14:textId="77777777" w:rsidTr="00144BD4">
        <w:trPr>
          <w:jc w:val="center"/>
        </w:trPr>
        <w:tc>
          <w:tcPr>
            <w:tcW w:w="1800" w:type="dxa"/>
            <w:vMerge w:val="restart"/>
            <w:shd w:val="clear" w:color="auto" w:fill="FFFFFF"/>
            <w:vAlign w:val="center"/>
            <w:hideMark/>
          </w:tcPr>
          <w:p w14:paraId="07433EAC"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Tổng thu nhập phát sinh tại Việt Nam</w:t>
            </w:r>
          </w:p>
        </w:tc>
        <w:tc>
          <w:tcPr>
            <w:tcW w:w="495" w:type="dxa"/>
            <w:vMerge w:val="restart"/>
            <w:shd w:val="clear" w:color="auto" w:fill="FFFFFF"/>
            <w:vAlign w:val="center"/>
            <w:hideMark/>
          </w:tcPr>
          <w:p w14:paraId="39C7F373"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w:t>
            </w:r>
          </w:p>
        </w:tc>
        <w:tc>
          <w:tcPr>
            <w:tcW w:w="2655" w:type="dxa"/>
            <w:tcBorders>
              <w:top w:val="nil"/>
              <w:left w:val="nil"/>
              <w:bottom w:val="single" w:sz="6" w:space="0" w:color="000000"/>
              <w:right w:val="nil"/>
            </w:tcBorders>
            <w:shd w:val="clear" w:color="auto" w:fill="FFFFFF"/>
            <w:vAlign w:val="center"/>
            <w:hideMark/>
          </w:tcPr>
          <w:p w14:paraId="46D347A3"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Số ngày làm việc cho công việc tại Việt Nam</w:t>
            </w:r>
          </w:p>
        </w:tc>
        <w:tc>
          <w:tcPr>
            <w:tcW w:w="540" w:type="dxa"/>
            <w:vMerge w:val="restart"/>
            <w:shd w:val="clear" w:color="auto" w:fill="FFFFFF"/>
            <w:vAlign w:val="center"/>
            <w:hideMark/>
          </w:tcPr>
          <w:p w14:paraId="32700F48"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x</w:t>
            </w:r>
          </w:p>
        </w:tc>
        <w:tc>
          <w:tcPr>
            <w:tcW w:w="1725" w:type="dxa"/>
            <w:vMerge w:val="restart"/>
            <w:shd w:val="clear" w:color="auto" w:fill="FFFFFF"/>
            <w:vAlign w:val="center"/>
            <w:hideMark/>
          </w:tcPr>
          <w:p w14:paraId="1007198C"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Thu nhập từ tiền lương, tiền công toàn cầu (trước thuế)</w:t>
            </w:r>
          </w:p>
        </w:tc>
        <w:tc>
          <w:tcPr>
            <w:tcW w:w="495" w:type="dxa"/>
            <w:vMerge w:val="restart"/>
            <w:shd w:val="clear" w:color="auto" w:fill="FFFFFF"/>
            <w:vAlign w:val="center"/>
            <w:hideMark/>
          </w:tcPr>
          <w:p w14:paraId="7B6BC1E8"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w:t>
            </w:r>
          </w:p>
        </w:tc>
        <w:tc>
          <w:tcPr>
            <w:tcW w:w="1710" w:type="dxa"/>
            <w:vMerge w:val="restart"/>
            <w:shd w:val="clear" w:color="auto" w:fill="FFFFFF"/>
            <w:vAlign w:val="center"/>
            <w:hideMark/>
          </w:tcPr>
          <w:p w14:paraId="6FFAEE5E"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Thu nhập chịu thuế khác (trước thuế) phát sinh tại Việt Nam</w:t>
            </w:r>
            <w:r w:rsidRPr="00144BD4">
              <w:rPr>
                <w:rStyle w:val="Strong"/>
                <w:sz w:val="26"/>
                <w:szCs w:val="26"/>
              </w:rPr>
              <w:t> (*)</w:t>
            </w:r>
          </w:p>
        </w:tc>
      </w:tr>
      <w:tr w:rsidR="00144BD4" w:rsidRPr="00144BD4" w14:paraId="35EE02B7" w14:textId="77777777" w:rsidTr="00144BD4">
        <w:trPr>
          <w:jc w:val="center"/>
        </w:trPr>
        <w:tc>
          <w:tcPr>
            <w:tcW w:w="0" w:type="auto"/>
            <w:vMerge/>
            <w:vAlign w:val="center"/>
            <w:hideMark/>
          </w:tcPr>
          <w:p w14:paraId="391E2860" w14:textId="77777777" w:rsidR="00144BD4" w:rsidRPr="00144BD4" w:rsidRDefault="00144BD4">
            <w:pPr>
              <w:rPr>
                <w:rFonts w:ascii="Times New Roman" w:hAnsi="Times New Roman" w:cs="Times New Roman"/>
                <w:sz w:val="26"/>
                <w:szCs w:val="26"/>
              </w:rPr>
            </w:pPr>
          </w:p>
        </w:tc>
        <w:tc>
          <w:tcPr>
            <w:tcW w:w="0" w:type="auto"/>
            <w:vMerge/>
            <w:vAlign w:val="center"/>
            <w:hideMark/>
          </w:tcPr>
          <w:p w14:paraId="54FFAFA9" w14:textId="77777777" w:rsidR="00144BD4" w:rsidRPr="00144BD4" w:rsidRDefault="00144BD4">
            <w:pPr>
              <w:rPr>
                <w:rFonts w:ascii="Times New Roman" w:hAnsi="Times New Roman" w:cs="Times New Roman"/>
                <w:sz w:val="26"/>
                <w:szCs w:val="26"/>
              </w:rPr>
            </w:pPr>
          </w:p>
        </w:tc>
        <w:tc>
          <w:tcPr>
            <w:tcW w:w="2655" w:type="dxa"/>
            <w:tcBorders>
              <w:top w:val="nil"/>
              <w:left w:val="nil"/>
              <w:bottom w:val="nil"/>
              <w:right w:val="nil"/>
            </w:tcBorders>
            <w:hideMark/>
          </w:tcPr>
          <w:p w14:paraId="7002B67E"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Tổng số ngày làm việc trong năm</w:t>
            </w:r>
          </w:p>
        </w:tc>
        <w:tc>
          <w:tcPr>
            <w:tcW w:w="0" w:type="auto"/>
            <w:vMerge/>
            <w:vAlign w:val="center"/>
            <w:hideMark/>
          </w:tcPr>
          <w:p w14:paraId="331FE048" w14:textId="77777777" w:rsidR="00144BD4" w:rsidRPr="00144BD4" w:rsidRDefault="00144BD4">
            <w:pPr>
              <w:rPr>
                <w:rFonts w:ascii="Times New Roman" w:hAnsi="Times New Roman" w:cs="Times New Roman"/>
                <w:sz w:val="26"/>
                <w:szCs w:val="26"/>
              </w:rPr>
            </w:pPr>
          </w:p>
        </w:tc>
        <w:tc>
          <w:tcPr>
            <w:tcW w:w="0" w:type="auto"/>
            <w:vMerge/>
            <w:vAlign w:val="center"/>
            <w:hideMark/>
          </w:tcPr>
          <w:p w14:paraId="68EC0232" w14:textId="77777777" w:rsidR="00144BD4" w:rsidRPr="00144BD4" w:rsidRDefault="00144BD4">
            <w:pPr>
              <w:rPr>
                <w:rFonts w:ascii="Times New Roman" w:hAnsi="Times New Roman" w:cs="Times New Roman"/>
                <w:sz w:val="26"/>
                <w:szCs w:val="26"/>
              </w:rPr>
            </w:pPr>
          </w:p>
        </w:tc>
        <w:tc>
          <w:tcPr>
            <w:tcW w:w="0" w:type="auto"/>
            <w:vMerge/>
            <w:vAlign w:val="center"/>
            <w:hideMark/>
          </w:tcPr>
          <w:p w14:paraId="411D226A" w14:textId="77777777" w:rsidR="00144BD4" w:rsidRPr="00144BD4" w:rsidRDefault="00144BD4">
            <w:pPr>
              <w:rPr>
                <w:rFonts w:ascii="Times New Roman" w:hAnsi="Times New Roman" w:cs="Times New Roman"/>
                <w:sz w:val="26"/>
                <w:szCs w:val="26"/>
              </w:rPr>
            </w:pPr>
          </w:p>
        </w:tc>
        <w:tc>
          <w:tcPr>
            <w:tcW w:w="0" w:type="auto"/>
            <w:vMerge/>
            <w:vAlign w:val="center"/>
            <w:hideMark/>
          </w:tcPr>
          <w:p w14:paraId="15BE05B7" w14:textId="77777777" w:rsidR="00144BD4" w:rsidRPr="00144BD4" w:rsidRDefault="00144BD4">
            <w:pPr>
              <w:rPr>
                <w:rFonts w:ascii="Times New Roman" w:hAnsi="Times New Roman" w:cs="Times New Roman"/>
                <w:sz w:val="26"/>
                <w:szCs w:val="26"/>
              </w:rPr>
            </w:pPr>
          </w:p>
        </w:tc>
      </w:tr>
    </w:tbl>
    <w:p w14:paraId="06EAFA08"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color w:val="000000"/>
          <w:spacing w:val="2"/>
          <w:sz w:val="26"/>
          <w:szCs w:val="26"/>
          <w:shd w:val="clear" w:color="auto" w:fill="FFFFFF"/>
        </w:rPr>
        <w:t>(Tổng số ngày làm việc trong năm được tính theo chế độ quy định tại </w:t>
      </w:r>
      <w:hyperlink r:id="rId13" w:tgtFrame="_blank" w:history="1">
        <w:r w:rsidRPr="00144BD4">
          <w:rPr>
            <w:rStyle w:val="Hyperlink"/>
            <w:rFonts w:eastAsiaTheme="majorEastAsia"/>
            <w:color w:val="00B1E1"/>
            <w:spacing w:val="2"/>
            <w:sz w:val="26"/>
            <w:szCs w:val="26"/>
          </w:rPr>
          <w:t>Bộ luật Lao động</w:t>
        </w:r>
      </w:hyperlink>
      <w:r w:rsidRPr="00144BD4">
        <w:rPr>
          <w:rStyle w:val="Emphasis"/>
          <w:color w:val="000000"/>
          <w:spacing w:val="2"/>
          <w:sz w:val="26"/>
          <w:szCs w:val="26"/>
          <w:shd w:val="clear" w:color="auto" w:fill="FFFFFF"/>
        </w:rPr>
        <w:t> </w:t>
      </w:r>
      <w:r w:rsidRPr="00144BD4">
        <w:rPr>
          <w:color w:val="000000"/>
          <w:spacing w:val="2"/>
          <w:sz w:val="26"/>
          <w:szCs w:val="26"/>
          <w:shd w:val="clear" w:color="auto" w:fill="FFFFFF"/>
        </w:rPr>
        <w:t>của Việt Nam).</w:t>
      </w:r>
    </w:p>
    <w:p w14:paraId="7F86A652"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rStyle w:val="Emphasis"/>
          <w:color w:val="000000"/>
          <w:spacing w:val="2"/>
          <w:sz w:val="26"/>
          <w:szCs w:val="26"/>
          <w:shd w:val="clear" w:color="auto" w:fill="FFFFFF"/>
        </w:rPr>
        <w:t>-</w:t>
      </w:r>
      <w:r w:rsidRPr="00144BD4">
        <w:rPr>
          <w:rStyle w:val="Strong"/>
          <w:i/>
          <w:iCs/>
          <w:color w:val="000000"/>
          <w:spacing w:val="2"/>
          <w:sz w:val="26"/>
          <w:szCs w:val="26"/>
          <w:shd w:val="clear" w:color="auto" w:fill="FFFFFF"/>
        </w:rPr>
        <w:t> </w:t>
      </w:r>
      <w:r w:rsidRPr="00144BD4">
        <w:rPr>
          <w:rStyle w:val="Emphasis"/>
          <w:color w:val="212529"/>
          <w:spacing w:val="2"/>
          <w:sz w:val="26"/>
          <w:szCs w:val="26"/>
          <w:shd w:val="clear" w:color="auto" w:fill="FFFFFF"/>
        </w:rPr>
        <w:t> </w:t>
      </w:r>
      <w:r w:rsidRPr="00144BD4">
        <w:rPr>
          <w:color w:val="000000"/>
          <w:spacing w:val="2"/>
          <w:sz w:val="26"/>
          <w:szCs w:val="26"/>
          <w:shd w:val="clear" w:color="auto" w:fill="FFFFFF"/>
        </w:rPr>
        <w:t>Đối với các trường hợp cá nhân người nước ngoài hiện diện tại Việt Nam:</w:t>
      </w:r>
    </w:p>
    <w:tbl>
      <w:tblPr>
        <w:tblW w:w="12000" w:type="dxa"/>
        <w:jc w:val="center"/>
        <w:tblCellMar>
          <w:top w:w="75" w:type="dxa"/>
          <w:left w:w="75" w:type="dxa"/>
          <w:bottom w:w="75" w:type="dxa"/>
          <w:right w:w="75" w:type="dxa"/>
        </w:tblCellMar>
        <w:tblLook w:val="04A0" w:firstRow="1" w:lastRow="0" w:firstColumn="1" w:lastColumn="0" w:noHBand="0" w:noVBand="1"/>
      </w:tblPr>
      <w:tblGrid>
        <w:gridCol w:w="1990"/>
        <w:gridCol w:w="677"/>
        <w:gridCol w:w="2627"/>
        <w:gridCol w:w="736"/>
        <w:gridCol w:w="2547"/>
        <w:gridCol w:w="697"/>
        <w:gridCol w:w="2726"/>
      </w:tblGrid>
      <w:tr w:rsidR="00144BD4" w:rsidRPr="00144BD4" w14:paraId="197017D8" w14:textId="77777777" w:rsidTr="00144BD4">
        <w:trPr>
          <w:jc w:val="center"/>
        </w:trPr>
        <w:tc>
          <w:tcPr>
            <w:tcW w:w="1500" w:type="dxa"/>
            <w:vMerge w:val="restart"/>
            <w:vAlign w:val="center"/>
            <w:hideMark/>
          </w:tcPr>
          <w:p w14:paraId="6BA79870"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Tổng thu nhập phát sinh tại Việt Nam</w:t>
            </w:r>
          </w:p>
        </w:tc>
        <w:tc>
          <w:tcPr>
            <w:tcW w:w="510" w:type="dxa"/>
            <w:vMerge w:val="restart"/>
            <w:vAlign w:val="center"/>
            <w:hideMark/>
          </w:tcPr>
          <w:p w14:paraId="178FFC3F"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w:t>
            </w:r>
          </w:p>
        </w:tc>
        <w:tc>
          <w:tcPr>
            <w:tcW w:w="1980" w:type="dxa"/>
            <w:tcBorders>
              <w:top w:val="nil"/>
              <w:left w:val="nil"/>
              <w:bottom w:val="single" w:sz="6" w:space="0" w:color="000000"/>
              <w:right w:val="nil"/>
            </w:tcBorders>
            <w:vAlign w:val="center"/>
            <w:hideMark/>
          </w:tcPr>
          <w:p w14:paraId="09CCC499"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Số ngày có mặt ở Việt Nam</w:t>
            </w:r>
          </w:p>
        </w:tc>
        <w:tc>
          <w:tcPr>
            <w:tcW w:w="555" w:type="dxa"/>
            <w:vMerge w:val="restart"/>
            <w:vAlign w:val="center"/>
            <w:hideMark/>
          </w:tcPr>
          <w:p w14:paraId="0F9ECE8B"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x</w:t>
            </w:r>
          </w:p>
        </w:tc>
        <w:tc>
          <w:tcPr>
            <w:tcW w:w="1920" w:type="dxa"/>
            <w:vMerge w:val="restart"/>
            <w:vAlign w:val="center"/>
            <w:hideMark/>
          </w:tcPr>
          <w:p w14:paraId="5A665D5F"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Thu nhập từ tiền lương, tiền công toàn cầu (trước thuế)</w:t>
            </w:r>
          </w:p>
        </w:tc>
        <w:tc>
          <w:tcPr>
            <w:tcW w:w="525" w:type="dxa"/>
            <w:vMerge w:val="restart"/>
            <w:vAlign w:val="center"/>
            <w:hideMark/>
          </w:tcPr>
          <w:p w14:paraId="2418EC2A"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w:t>
            </w:r>
          </w:p>
        </w:tc>
        <w:tc>
          <w:tcPr>
            <w:tcW w:w="2055" w:type="dxa"/>
            <w:vMerge w:val="restart"/>
            <w:vAlign w:val="center"/>
            <w:hideMark/>
          </w:tcPr>
          <w:p w14:paraId="6B28DB40"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Thu nhập chịu thuế khác (trước thuế) phát sinh tại Việt Nam</w:t>
            </w:r>
            <w:r w:rsidRPr="00144BD4">
              <w:rPr>
                <w:rStyle w:val="Strong"/>
                <w:sz w:val="26"/>
                <w:szCs w:val="26"/>
              </w:rPr>
              <w:t> (*)</w:t>
            </w:r>
          </w:p>
        </w:tc>
      </w:tr>
      <w:tr w:rsidR="00144BD4" w:rsidRPr="00144BD4" w14:paraId="7A624EAF" w14:textId="77777777" w:rsidTr="00144BD4">
        <w:trPr>
          <w:jc w:val="center"/>
        </w:trPr>
        <w:tc>
          <w:tcPr>
            <w:tcW w:w="0" w:type="auto"/>
            <w:vMerge/>
            <w:vAlign w:val="center"/>
            <w:hideMark/>
          </w:tcPr>
          <w:p w14:paraId="7C4F7B07" w14:textId="77777777" w:rsidR="00144BD4" w:rsidRPr="00144BD4" w:rsidRDefault="00144BD4">
            <w:pPr>
              <w:rPr>
                <w:rFonts w:ascii="Times New Roman" w:hAnsi="Times New Roman" w:cs="Times New Roman"/>
                <w:sz w:val="26"/>
                <w:szCs w:val="26"/>
              </w:rPr>
            </w:pPr>
          </w:p>
        </w:tc>
        <w:tc>
          <w:tcPr>
            <w:tcW w:w="0" w:type="auto"/>
            <w:vMerge/>
            <w:vAlign w:val="center"/>
            <w:hideMark/>
          </w:tcPr>
          <w:p w14:paraId="102FB947" w14:textId="77777777" w:rsidR="00144BD4" w:rsidRPr="00144BD4" w:rsidRDefault="00144BD4">
            <w:pPr>
              <w:rPr>
                <w:rFonts w:ascii="Times New Roman" w:hAnsi="Times New Roman" w:cs="Times New Roman"/>
                <w:sz w:val="26"/>
                <w:szCs w:val="26"/>
              </w:rPr>
            </w:pPr>
          </w:p>
        </w:tc>
        <w:tc>
          <w:tcPr>
            <w:tcW w:w="1500" w:type="dxa"/>
            <w:tcBorders>
              <w:top w:val="nil"/>
              <w:left w:val="nil"/>
              <w:bottom w:val="nil"/>
              <w:right w:val="nil"/>
            </w:tcBorders>
            <w:hideMark/>
          </w:tcPr>
          <w:p w14:paraId="11E3847B" w14:textId="77777777" w:rsidR="00144BD4" w:rsidRPr="00144BD4" w:rsidRDefault="00144BD4">
            <w:pPr>
              <w:pStyle w:val="NormalWeb"/>
              <w:spacing w:before="0" w:beforeAutospacing="0" w:after="120" w:afterAutospacing="0"/>
              <w:jc w:val="center"/>
              <w:rPr>
                <w:sz w:val="26"/>
                <w:szCs w:val="26"/>
              </w:rPr>
            </w:pPr>
            <w:r w:rsidRPr="00144BD4">
              <w:rPr>
                <w:rStyle w:val="Strong"/>
                <w:color w:val="000000"/>
                <w:sz w:val="26"/>
                <w:szCs w:val="26"/>
              </w:rPr>
              <w:t>365 ngày</w:t>
            </w:r>
          </w:p>
        </w:tc>
        <w:tc>
          <w:tcPr>
            <w:tcW w:w="0" w:type="auto"/>
            <w:vMerge/>
            <w:vAlign w:val="center"/>
            <w:hideMark/>
          </w:tcPr>
          <w:p w14:paraId="605E1230" w14:textId="77777777" w:rsidR="00144BD4" w:rsidRPr="00144BD4" w:rsidRDefault="00144BD4">
            <w:pPr>
              <w:rPr>
                <w:rFonts w:ascii="Times New Roman" w:hAnsi="Times New Roman" w:cs="Times New Roman"/>
                <w:sz w:val="26"/>
                <w:szCs w:val="26"/>
              </w:rPr>
            </w:pPr>
          </w:p>
        </w:tc>
        <w:tc>
          <w:tcPr>
            <w:tcW w:w="0" w:type="auto"/>
            <w:vMerge/>
            <w:vAlign w:val="center"/>
            <w:hideMark/>
          </w:tcPr>
          <w:p w14:paraId="13EC9B6C" w14:textId="77777777" w:rsidR="00144BD4" w:rsidRPr="00144BD4" w:rsidRDefault="00144BD4">
            <w:pPr>
              <w:rPr>
                <w:rFonts w:ascii="Times New Roman" w:hAnsi="Times New Roman" w:cs="Times New Roman"/>
                <w:sz w:val="26"/>
                <w:szCs w:val="26"/>
              </w:rPr>
            </w:pPr>
          </w:p>
        </w:tc>
        <w:tc>
          <w:tcPr>
            <w:tcW w:w="0" w:type="auto"/>
            <w:vMerge/>
            <w:vAlign w:val="center"/>
            <w:hideMark/>
          </w:tcPr>
          <w:p w14:paraId="77134BDB" w14:textId="77777777" w:rsidR="00144BD4" w:rsidRPr="00144BD4" w:rsidRDefault="00144BD4">
            <w:pPr>
              <w:rPr>
                <w:rFonts w:ascii="Times New Roman" w:hAnsi="Times New Roman" w:cs="Times New Roman"/>
                <w:sz w:val="26"/>
                <w:szCs w:val="26"/>
              </w:rPr>
            </w:pPr>
          </w:p>
        </w:tc>
        <w:tc>
          <w:tcPr>
            <w:tcW w:w="0" w:type="auto"/>
            <w:vMerge/>
            <w:vAlign w:val="center"/>
            <w:hideMark/>
          </w:tcPr>
          <w:p w14:paraId="3A5217A8" w14:textId="77777777" w:rsidR="00144BD4" w:rsidRPr="00144BD4" w:rsidRDefault="00144BD4">
            <w:pPr>
              <w:rPr>
                <w:rFonts w:ascii="Times New Roman" w:hAnsi="Times New Roman" w:cs="Times New Roman"/>
                <w:sz w:val="26"/>
                <w:szCs w:val="26"/>
              </w:rPr>
            </w:pPr>
          </w:p>
        </w:tc>
      </w:tr>
    </w:tbl>
    <w:p w14:paraId="28719ACB" w14:textId="77777777" w:rsidR="00144BD4" w:rsidRPr="00144BD4" w:rsidRDefault="00144BD4" w:rsidP="00144BD4">
      <w:pPr>
        <w:pStyle w:val="NormalWeb"/>
        <w:shd w:val="clear" w:color="auto" w:fill="FFFFFF"/>
        <w:spacing w:before="0" w:beforeAutospacing="0" w:after="120" w:afterAutospacing="0"/>
        <w:jc w:val="both"/>
        <w:rPr>
          <w:color w:val="212529"/>
          <w:spacing w:val="2"/>
          <w:sz w:val="26"/>
          <w:szCs w:val="26"/>
        </w:rPr>
      </w:pPr>
      <w:r w:rsidRPr="00144BD4">
        <w:rPr>
          <w:rStyle w:val="Strong"/>
          <w:color w:val="000000"/>
          <w:spacing w:val="2"/>
          <w:sz w:val="26"/>
          <w:szCs w:val="26"/>
          <w:shd w:val="clear" w:color="auto" w:fill="FFFFFF"/>
        </w:rPr>
        <w:t>(*)</w:t>
      </w:r>
      <w:r w:rsidRPr="00144BD4">
        <w:rPr>
          <w:color w:val="000000"/>
          <w:spacing w:val="2"/>
          <w:sz w:val="26"/>
          <w:szCs w:val="26"/>
          <w:shd w:val="clear" w:color="auto" w:fill="FFFFFF"/>
        </w:rPr>
        <w:t> Thu nhập chịu thuế khác (trước thuế) phát sinh tại Việt Nam tại các trường hợp nêu trên là các khoản lợi ích khác bằng tiền hoặc không bằng tiền mà người lao động được hưởng ngoài tiền lương, tiền công do người sử dụng lao động trả hoặc trả hộ cho người lao động.</w:t>
      </w:r>
    </w:p>
    <w:p w14:paraId="51CB7E26" w14:textId="19CA3FC2" w:rsidR="00C84A89" w:rsidRPr="008A2535" w:rsidRDefault="00144BD4">
      <w:pPr>
        <w:rPr>
          <w:rFonts w:ascii="Times New Roman" w:hAnsi="Times New Roman" w:cs="Times New Roman"/>
          <w:b/>
          <w:bCs/>
          <w:sz w:val="26"/>
          <w:szCs w:val="26"/>
        </w:rPr>
      </w:pPr>
      <w:r w:rsidRPr="008A2535">
        <w:rPr>
          <w:rFonts w:ascii="Times New Roman" w:hAnsi="Times New Roman" w:cs="Times New Roman"/>
          <w:b/>
          <w:bCs/>
          <w:sz w:val="26"/>
          <w:szCs w:val="26"/>
        </w:rPr>
        <w:t>Tài liệu tham khảo:</w:t>
      </w:r>
    </w:p>
    <w:p w14:paraId="1BE910E0" w14:textId="16181E3D" w:rsidR="00144BD4" w:rsidRPr="00D76A33" w:rsidRDefault="00144BD4" w:rsidP="00144BD4">
      <w:pPr>
        <w:pStyle w:val="NormalWeb"/>
        <w:shd w:val="clear" w:color="auto" w:fill="FFFFFF"/>
        <w:spacing w:before="0" w:beforeAutospacing="0" w:after="0" w:afterAutospacing="0" w:line="234" w:lineRule="atLeast"/>
      </w:pPr>
      <w:r w:rsidRPr="00D76A33">
        <w:t>1.</w:t>
      </w:r>
      <w:hyperlink r:id="rId14" w:tgtFrame="_blank" w:history="1">
        <w:r w:rsidRPr="00D76A33">
          <w:rPr>
            <w:rStyle w:val="Hyperlink"/>
            <w:rFonts w:eastAsiaTheme="majorEastAsia"/>
            <w:color w:val="auto"/>
            <w:spacing w:val="2"/>
            <w:shd w:val="clear" w:color="auto" w:fill="FFFFFF"/>
          </w:rPr>
          <w:t>Thông tư 111/2013/TT-BTC</w:t>
        </w:r>
      </w:hyperlink>
      <w:r w:rsidRPr="00D76A33">
        <w:t xml:space="preserve"> về </w:t>
      </w:r>
      <w:bookmarkStart w:id="0" w:name="loai_1_name"/>
      <w:r w:rsidRPr="00D76A33">
        <w:rPr>
          <w:lang w:val="nl-NL"/>
        </w:rPr>
        <w:t>HƯỚNG DẪN THỰC HIỆN LUẬT THUẾ THU NHẬP CÁ NHÂN, LUẬT SỬA ĐỔI, BỔ SUNG MỘT SỐ ĐIỀU CỦA LUẬT THUẾ THU NHẬP CÁ NHÂN VÀ NGHỊ ĐỊNH SỐ </w:t>
      </w:r>
      <w:bookmarkEnd w:id="0"/>
      <w:r w:rsidRPr="00D76A33">
        <w:fldChar w:fldCharType="begin"/>
      </w:r>
      <w:r w:rsidRPr="00D76A33">
        <w:instrText>HYPERLINK "https://thuvienphapluat.vn/van-ban/thue-phi-le-phi/nghi-dinh-65-2013-nd-cp-huong-dan-luat-thue-thu-nhap-ca-nhan-2007-sua-doi-2012-196609.aspx" \o "Nghị định 65/2013/NĐ-CP" \t "_blank"</w:instrText>
      </w:r>
      <w:r w:rsidRPr="00D76A33">
        <w:fldChar w:fldCharType="separate"/>
      </w:r>
      <w:r w:rsidRPr="00D76A33">
        <w:rPr>
          <w:rStyle w:val="Hyperlink"/>
          <w:color w:val="auto"/>
        </w:rPr>
        <w:t>65/2013/NĐ-CP</w:t>
      </w:r>
      <w:r w:rsidRPr="00D76A33">
        <w:fldChar w:fldCharType="end"/>
      </w:r>
      <w:r w:rsidRPr="00D76A33">
        <w:t> CỦA CHÍNH PHỦ QUY ĐỊNH CHI TIẾT MỘT SỐ ĐIỀU CỦA LUẬT THUẾ THU NHẬP CÁ NHÂN</w:t>
      </w:r>
      <w:r w:rsidRPr="00D76A33">
        <w:t xml:space="preserve"> ngày 15/8/2013</w:t>
      </w:r>
    </w:p>
    <w:p w14:paraId="417F610F" w14:textId="654F07C7" w:rsidR="00144BD4" w:rsidRPr="00D76A33" w:rsidRDefault="00144BD4" w:rsidP="00144BD4">
      <w:pPr>
        <w:pStyle w:val="NormalWeb"/>
        <w:shd w:val="clear" w:color="auto" w:fill="FFFFFF"/>
        <w:spacing w:before="0" w:beforeAutospacing="0" w:after="0" w:afterAutospacing="0"/>
      </w:pPr>
      <w:bookmarkStart w:id="1" w:name="loai_1"/>
      <w:r w:rsidRPr="00D76A33">
        <w:t>2.T</w:t>
      </w:r>
      <w:r w:rsidRPr="00D76A33">
        <w:rPr>
          <w:lang w:val="vi-VN"/>
        </w:rPr>
        <w:t>HÔNG TƯ</w:t>
      </w:r>
      <w:bookmarkEnd w:id="1"/>
      <w:r w:rsidRPr="00D76A33">
        <w:t xml:space="preserve"> </w:t>
      </w:r>
      <w:r w:rsidRPr="00D76A33">
        <w:rPr>
          <w:shd w:val="clear" w:color="auto" w:fill="FFFFFF"/>
        </w:rPr>
        <w:t>80/2021/TT-BTC</w:t>
      </w:r>
      <w:r w:rsidRPr="00D76A33">
        <w:t xml:space="preserve"> </w:t>
      </w:r>
      <w:r w:rsidRPr="00D76A33">
        <w:rPr>
          <w:lang w:val="vi-VN"/>
        </w:rPr>
        <w:t>HƯỚNG DẪN THI HÀNH MỘT SỐ ĐIỀU CỦA LUẬT QUẢN LÝ THUẾ VÀ NGHỊ ĐỊNH SỐ 126/2020/NĐ-CP NGÀY 19 THÁNG 10 NĂM 2020 CỦA CHÍNH PHỦ QUY ĐỊNH CHI TIẾT MỘT SỐ ĐIỀU CỦA LUẬT QUẢN LÝ THUẾ</w:t>
      </w:r>
      <w:r w:rsidRPr="00D76A33">
        <w:t xml:space="preserve"> ngày 29/9/2021.</w:t>
      </w:r>
    </w:p>
    <w:p w14:paraId="6FC43A83" w14:textId="28CB1919" w:rsidR="00144BD4" w:rsidRPr="00D76A33" w:rsidRDefault="00144BD4">
      <w:pPr>
        <w:rPr>
          <w:rFonts w:ascii="Times New Roman" w:hAnsi="Times New Roman" w:cs="Times New Roman"/>
          <w:sz w:val="24"/>
          <w:szCs w:val="24"/>
        </w:rPr>
      </w:pPr>
      <w:r w:rsidRPr="00D76A33">
        <w:rPr>
          <w:rFonts w:ascii="Times New Roman" w:hAnsi="Times New Roman" w:cs="Times New Roman"/>
          <w:sz w:val="24"/>
          <w:szCs w:val="24"/>
        </w:rPr>
        <w:t>3.</w:t>
      </w:r>
      <w:r w:rsidRPr="00D76A33">
        <w:rPr>
          <w:rFonts w:ascii="Times New Roman" w:hAnsi="Times New Roman" w:cs="Times New Roman"/>
          <w:sz w:val="24"/>
          <w:szCs w:val="24"/>
        </w:rPr>
        <w:t>https://thuvienphapluat.vn/van-ban/Thue-Phi-Le-Phi/Thong-tu-80-2021-TT-BTC-huong-dan-Luat-Quan-ly-thue-Nghi-dinh-126-2020-ND-CP-466716.aspx</w:t>
      </w:r>
    </w:p>
    <w:sectPr w:rsidR="00144BD4" w:rsidRPr="00D76A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BD4"/>
    <w:rsid w:val="00144BD4"/>
    <w:rsid w:val="006C5206"/>
    <w:rsid w:val="008A2535"/>
    <w:rsid w:val="00C84A89"/>
    <w:rsid w:val="00D76A33"/>
    <w:rsid w:val="00D80D11"/>
    <w:rsid w:val="00F62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B6B03E"/>
  <w15:chartTrackingRefBased/>
  <w15:docId w15:val="{3A092C65-4108-4FFF-BC61-61019840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44BD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144B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44B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BD4"/>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semiHidden/>
    <w:rsid w:val="00144BD4"/>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144BD4"/>
    <w:rPr>
      <w:b/>
      <w:bCs/>
    </w:rPr>
  </w:style>
  <w:style w:type="paragraph" w:styleId="NormalWeb">
    <w:name w:val="Normal (Web)"/>
    <w:basedOn w:val="Normal"/>
    <w:uiPriority w:val="99"/>
    <w:unhideWhenUsed/>
    <w:rsid w:val="00144BD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144BD4"/>
    <w:rPr>
      <w:color w:val="0000FF"/>
      <w:u w:val="single"/>
    </w:rPr>
  </w:style>
  <w:style w:type="character" w:customStyle="1" w:styleId="Heading3Char">
    <w:name w:val="Heading 3 Char"/>
    <w:basedOn w:val="DefaultParagraphFont"/>
    <w:link w:val="Heading3"/>
    <w:uiPriority w:val="9"/>
    <w:semiHidden/>
    <w:rsid w:val="00144BD4"/>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144B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63734">
      <w:bodyDiv w:val="1"/>
      <w:marLeft w:val="0"/>
      <w:marRight w:val="0"/>
      <w:marTop w:val="0"/>
      <w:marBottom w:val="0"/>
      <w:divBdr>
        <w:top w:val="none" w:sz="0" w:space="0" w:color="auto"/>
        <w:left w:val="none" w:sz="0" w:space="0" w:color="auto"/>
        <w:bottom w:val="none" w:sz="0" w:space="0" w:color="auto"/>
        <w:right w:val="none" w:sz="0" w:space="0" w:color="auto"/>
      </w:divBdr>
    </w:div>
    <w:div w:id="368796252">
      <w:bodyDiv w:val="1"/>
      <w:marLeft w:val="0"/>
      <w:marRight w:val="0"/>
      <w:marTop w:val="0"/>
      <w:marBottom w:val="0"/>
      <w:divBdr>
        <w:top w:val="none" w:sz="0" w:space="0" w:color="auto"/>
        <w:left w:val="none" w:sz="0" w:space="0" w:color="auto"/>
        <w:bottom w:val="none" w:sz="0" w:space="0" w:color="auto"/>
        <w:right w:val="none" w:sz="0" w:space="0" w:color="auto"/>
      </w:divBdr>
    </w:div>
    <w:div w:id="681934647">
      <w:bodyDiv w:val="1"/>
      <w:marLeft w:val="0"/>
      <w:marRight w:val="0"/>
      <w:marTop w:val="0"/>
      <w:marBottom w:val="0"/>
      <w:divBdr>
        <w:top w:val="none" w:sz="0" w:space="0" w:color="auto"/>
        <w:left w:val="none" w:sz="0" w:space="0" w:color="auto"/>
        <w:bottom w:val="none" w:sz="0" w:space="0" w:color="auto"/>
        <w:right w:val="none" w:sz="0" w:space="0" w:color="auto"/>
      </w:divBdr>
    </w:div>
    <w:div w:id="1193542006">
      <w:bodyDiv w:val="1"/>
      <w:marLeft w:val="0"/>
      <w:marRight w:val="0"/>
      <w:marTop w:val="0"/>
      <w:marBottom w:val="0"/>
      <w:divBdr>
        <w:top w:val="none" w:sz="0" w:space="0" w:color="auto"/>
        <w:left w:val="none" w:sz="0" w:space="0" w:color="auto"/>
        <w:bottom w:val="none" w:sz="0" w:space="0" w:color="auto"/>
        <w:right w:val="none" w:sz="0" w:space="0" w:color="auto"/>
      </w:divBdr>
    </w:div>
    <w:div w:id="1849640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o-hiem/Luat-Bao-hiem-xa-hoi-2014-259700.aspx" TargetMode="External"/><Relationship Id="rId13" Type="http://schemas.openxmlformats.org/officeDocument/2006/relationships/hyperlink" Target="https://thuvienphapluat.vn/van-ban/Lao-dong-Tien-luong/Bo-Luat-lao-dong-2019-333670.aspx" TargetMode="External"/><Relationship Id="rId3" Type="http://schemas.openxmlformats.org/officeDocument/2006/relationships/webSettings" Target="webSettings.xml"/><Relationship Id="rId7" Type="http://schemas.openxmlformats.org/officeDocument/2006/relationships/hyperlink" Target="https://thuvienphapluat.vn/van-ban/Lao-dong-Tien-luong/Bo-Luat-lao-dong-2019-333670.aspx" TargetMode="External"/><Relationship Id="rId12" Type="http://schemas.openxmlformats.org/officeDocument/2006/relationships/hyperlink" Target="https://thuvienphapluat.vn/van-ban/Thue-Phi-Le-Phi/Thong-tu-111-2013-TT-BTC-Huong-dan-Luat-thue-thu-nhap-ca-nhan-va-Nghi-dinh-65-2013-ND-CP-205356.aspx?anchor=dieu_18"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thuvienphapluat.vn/phap-luat-doanh-nghiep/giai-doan/quy-dinh-ve-thu-nhap-chiu-thue-thu-nhap-ca-nhan-tu-tien-luong-tien-cong-cua-nguoi-lao-dong-trong-cong-ty-co-phan/3134.html" TargetMode="External"/><Relationship Id="rId11" Type="http://schemas.openxmlformats.org/officeDocument/2006/relationships/hyperlink" Target="https://thuvienphapluat.vn/van-ban/Thue-Phi-Le-Phi/Thong-tu-80-2021-TT-BTC-huong-dan-Luat-Quan-ly-thue-Nghi-dinh-126-2020-ND-CP-466716.aspx" TargetMode="External"/><Relationship Id="rId5" Type="http://schemas.openxmlformats.org/officeDocument/2006/relationships/hyperlink" Target="https://thuvienphapluat.vn/van-ban/Thue-Phi-Le-Phi/Thong-tu-111-2013-TT-BTC-Huong-dan-Luat-thue-thu-nhap-ca-nhan-va-Nghi-dinh-65-2013-ND-CP-205356.aspx?anchor=dieu_2" TargetMode="External"/><Relationship Id="rId15" Type="http://schemas.openxmlformats.org/officeDocument/2006/relationships/fontTable" Target="fontTable.xml"/><Relationship Id="rId10" Type="http://schemas.openxmlformats.org/officeDocument/2006/relationships/hyperlink" Target="https://thuvienphapluat.vn/van-ban/Thue-Phi-Le-Phi/Thong-tu-111-2013-TT-BTC-Huong-dan-Luat-thue-thu-nhap-ca-nhan-va-Nghi-dinh-65-2013-ND-CP-205356.aspx?anchor=dieu_25" TargetMode="External"/><Relationship Id="rId4" Type="http://schemas.openxmlformats.org/officeDocument/2006/relationships/hyperlink" Target="https://thuvienphapluat.vn/van-ban/Thue-Phi-Le-Phi/Luat-thue-thu-nhap-ca-nhan-2007-04-2007-QH12-59652.aspx?anchor=dieu_2" TargetMode="External"/><Relationship Id="rId9" Type="http://schemas.openxmlformats.org/officeDocument/2006/relationships/hyperlink" Target="https://thuvienphapluat.vn/van-ban/Thue-Phi-Le-Phi/Thong-tu-111-2013-TT-BTC-Huong-dan-Luat-thue-thu-nhap-ca-nhan-va-Nghi-dinh-65-2013-ND-CP-205356.aspx" TargetMode="External"/><Relationship Id="rId14" Type="http://schemas.openxmlformats.org/officeDocument/2006/relationships/hyperlink" Target="https://thuvienphapluat.vn/van-ban/Thue-Phi-Le-Phi/Thong-tu-111-2013-TT-BTC-Huong-dan-Luat-thue-thu-nhap-ca-nhan-va-Nghi-dinh-65-2013-ND-CP-205356.aspx?anchor=dieu_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1638</Words>
  <Characters>5993</Characters>
  <Application>Microsoft Office Word</Application>
  <DocSecurity>0</DocSecurity>
  <Lines>252</Lines>
  <Paragraphs>143</Paragraphs>
  <ScaleCrop>false</ScaleCrop>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2023-12-14T13:47:00Z</dcterms:created>
  <dcterms:modified xsi:type="dcterms:W3CDTF">2023-12-14T13:57:00Z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55447e7e-2c80-4869-9f0d-036f71d659be</vt:lpwstr>
  </property>
</Properties>
</file>