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70AC" w14:textId="77777777" w:rsidR="00B22250" w:rsidRPr="00934C24" w:rsidRDefault="00B22250" w:rsidP="00B22250">
      <w:pPr>
        <w:pStyle w:val="Heading1"/>
        <w:spacing w:before="0" w:beforeAutospacing="0" w:line="300" w:lineRule="atLeast"/>
        <w:rPr>
          <w:spacing w:val="2"/>
          <w:sz w:val="26"/>
          <w:szCs w:val="26"/>
        </w:rPr>
      </w:pPr>
      <w:r w:rsidRPr="00934C24">
        <w:rPr>
          <w:spacing w:val="2"/>
          <w:sz w:val="26"/>
          <w:szCs w:val="26"/>
        </w:rPr>
        <w:t>CÁCH TÍNH GIẢM 20% MỨC TỶ LỆ ĐỂ TÍNH THUẾ GIÁ TRỊ GIA TĂNG THEO NGHỊ ĐỊNH 44/2023/NĐ-CP</w:t>
      </w:r>
    </w:p>
    <w:p w14:paraId="334E68AE" w14:textId="15748845" w:rsidR="009D06F5" w:rsidRPr="00934C24" w:rsidRDefault="009D06F5" w:rsidP="00B22250">
      <w:pPr>
        <w:pStyle w:val="Heading1"/>
        <w:spacing w:before="0" w:beforeAutospacing="0" w:line="300" w:lineRule="atLeast"/>
        <w:rPr>
          <w:b w:val="0"/>
          <w:bCs w:val="0"/>
          <w:spacing w:val="2"/>
          <w:sz w:val="26"/>
          <w:szCs w:val="26"/>
        </w:rPr>
      </w:pPr>
      <w:r w:rsidRPr="00934C24">
        <w:rPr>
          <w:spacing w:val="2"/>
          <w:sz w:val="26"/>
          <w:szCs w:val="26"/>
        </w:rPr>
        <w:tab/>
      </w:r>
      <w:r w:rsidRPr="00934C24">
        <w:rPr>
          <w:spacing w:val="2"/>
          <w:sz w:val="26"/>
          <w:szCs w:val="26"/>
        </w:rPr>
        <w:tab/>
      </w:r>
      <w:r w:rsidRPr="00934C24">
        <w:rPr>
          <w:spacing w:val="2"/>
          <w:sz w:val="26"/>
          <w:szCs w:val="26"/>
        </w:rPr>
        <w:tab/>
      </w:r>
      <w:r w:rsidRPr="00934C24">
        <w:rPr>
          <w:spacing w:val="2"/>
          <w:sz w:val="26"/>
          <w:szCs w:val="26"/>
        </w:rPr>
        <w:tab/>
      </w:r>
      <w:r w:rsidRPr="00934C24">
        <w:rPr>
          <w:spacing w:val="2"/>
          <w:sz w:val="26"/>
          <w:szCs w:val="26"/>
        </w:rPr>
        <w:tab/>
      </w:r>
      <w:r w:rsidRPr="00934C24">
        <w:rPr>
          <w:spacing w:val="2"/>
          <w:sz w:val="26"/>
          <w:szCs w:val="26"/>
        </w:rPr>
        <w:tab/>
      </w:r>
      <w:r w:rsidRPr="00934C24">
        <w:rPr>
          <w:spacing w:val="2"/>
          <w:sz w:val="26"/>
          <w:szCs w:val="26"/>
        </w:rPr>
        <w:tab/>
      </w:r>
      <w:r w:rsidRPr="00934C24">
        <w:rPr>
          <w:b w:val="0"/>
          <w:bCs w:val="0"/>
          <w:spacing w:val="2"/>
          <w:sz w:val="26"/>
          <w:szCs w:val="26"/>
        </w:rPr>
        <w:t>Ths.Mai Thị Quỳnh Như</w:t>
      </w:r>
    </w:p>
    <w:p w14:paraId="77EB89CC" w14:textId="62AA05E7" w:rsidR="009D06F5" w:rsidRPr="00934C24" w:rsidRDefault="009D06F5" w:rsidP="00B22250">
      <w:pPr>
        <w:spacing w:after="100" w:afterAutospacing="1" w:line="300" w:lineRule="atLeast"/>
        <w:ind w:left="4320" w:firstLine="720"/>
        <w:outlineLvl w:val="0"/>
        <w:rPr>
          <w:rFonts w:ascii="Times New Roman" w:eastAsia="Times New Roman" w:hAnsi="Times New Roman" w:cs="Times New Roman"/>
          <w:spacing w:val="2"/>
          <w:kern w:val="36"/>
          <w:sz w:val="26"/>
          <w:szCs w:val="26"/>
          <w14:ligatures w14:val="none"/>
        </w:rPr>
      </w:pPr>
      <w:r w:rsidRPr="00934C24">
        <w:rPr>
          <w:rFonts w:ascii="Times New Roman" w:eastAsia="Times New Roman" w:hAnsi="Times New Roman" w:cs="Times New Roman"/>
          <w:spacing w:val="2"/>
          <w:kern w:val="36"/>
          <w:sz w:val="26"/>
          <w:szCs w:val="26"/>
          <w14:ligatures w14:val="none"/>
        </w:rPr>
        <w:t>Khoa Kế toán – Đại học Duy Tân</w:t>
      </w:r>
    </w:p>
    <w:p w14:paraId="1F6B37CD" w14:textId="77777777" w:rsidR="00B22250" w:rsidRPr="00934C24" w:rsidRDefault="00B22250" w:rsidP="00B22250">
      <w:pPr>
        <w:pStyle w:val="Heading2"/>
        <w:spacing w:before="0" w:line="300" w:lineRule="atLeast"/>
        <w:jc w:val="both"/>
        <w:rPr>
          <w:rFonts w:ascii="Times New Roman" w:hAnsi="Times New Roman" w:cs="Times New Roman"/>
          <w:color w:val="auto"/>
          <w:spacing w:val="2"/>
        </w:rPr>
      </w:pPr>
      <w:r w:rsidRPr="00934C24">
        <w:rPr>
          <w:rStyle w:val="Strong"/>
          <w:rFonts w:ascii="Times New Roman" w:hAnsi="Times New Roman" w:cs="Times New Roman"/>
          <w:b w:val="0"/>
          <w:bCs w:val="0"/>
          <w:color w:val="auto"/>
          <w:spacing w:val="2"/>
        </w:rPr>
        <w:t>1. Cách tính giảm 20% mức tỷ lệ % để tính thuế GTGT theo Nghị định 44/2023/NĐ-CP</w:t>
      </w:r>
    </w:p>
    <w:p w14:paraId="6F486A18"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Theo điểm b khoản 2 Điều 1 </w:t>
      </w:r>
      <w:hyperlink r:id="rId5" w:tgtFrame="_blank" w:history="1">
        <w:r w:rsidRPr="00934C24">
          <w:rPr>
            <w:rStyle w:val="Hyperlink"/>
            <w:color w:val="auto"/>
            <w:spacing w:val="2"/>
            <w:sz w:val="26"/>
            <w:szCs w:val="26"/>
          </w:rPr>
          <w:t>Nghị định 44/2023/NĐ-CP</w:t>
        </w:r>
      </w:hyperlink>
      <w:r w:rsidRPr="00934C24">
        <w:rPr>
          <w:spacing w:val="2"/>
          <w:sz w:val="26"/>
          <w:szCs w:val="26"/>
        </w:rPr>
        <w:t>, mức giảm thuế giá trị gia tăng (GTGT) khi tính theo phương pháp tỷ lệ % trên doanh thu được quy định như sau:</w:t>
      </w:r>
    </w:p>
    <w:p w14:paraId="4F892813" w14:textId="43D30B42" w:rsidR="00B22250" w:rsidRPr="00934C24" w:rsidRDefault="00B22250" w:rsidP="00B22250">
      <w:pPr>
        <w:pStyle w:val="NormalWeb"/>
        <w:spacing w:before="0" w:beforeAutospacing="0" w:after="120" w:afterAutospacing="0"/>
        <w:ind w:left="600"/>
        <w:jc w:val="both"/>
        <w:rPr>
          <w:spacing w:val="2"/>
          <w:sz w:val="26"/>
          <w:szCs w:val="26"/>
        </w:rPr>
      </w:pPr>
      <w:r w:rsidRPr="00934C24">
        <w:rPr>
          <w:rStyle w:val="Emphasis"/>
          <w:spacing w:val="2"/>
          <w:sz w:val="26"/>
          <w:szCs w:val="26"/>
        </w:rPr>
        <w:t>“2. Mức giảm thuế giá trị gia tăng</w:t>
      </w:r>
    </w:p>
    <w:p w14:paraId="5BD33EDC" w14:textId="77777777" w:rsidR="00B22250" w:rsidRPr="00934C24" w:rsidRDefault="00B22250" w:rsidP="00B22250">
      <w:pPr>
        <w:pStyle w:val="NormalWeb"/>
        <w:spacing w:before="0" w:beforeAutospacing="0" w:after="120" w:afterAutospacing="0"/>
        <w:ind w:left="600"/>
        <w:jc w:val="both"/>
        <w:rPr>
          <w:spacing w:val="2"/>
          <w:sz w:val="26"/>
          <w:szCs w:val="26"/>
        </w:rPr>
      </w:pPr>
      <w:r w:rsidRPr="00934C24">
        <w:rPr>
          <w:rStyle w:val="Emphasis"/>
          <w:spacing w:val="2"/>
          <w:sz w:val="26"/>
          <w:szCs w:val="26"/>
        </w:rPr>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14:paraId="2F310C77" w14:textId="26D53B3F"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Đồng thời, theo khoản 2 Điều 13 </w:t>
      </w:r>
      <w:hyperlink r:id="rId6" w:tgtFrame="_blank" w:history="1">
        <w:r w:rsidRPr="00934C24">
          <w:rPr>
            <w:rStyle w:val="Hyperlink"/>
            <w:color w:val="auto"/>
            <w:spacing w:val="2"/>
            <w:sz w:val="26"/>
            <w:szCs w:val="26"/>
          </w:rPr>
          <w:t>Thông tư 219/2013/TT-BTC</w:t>
        </w:r>
      </w:hyperlink>
      <w:r w:rsidRPr="00934C24">
        <w:rPr>
          <w:spacing w:val="2"/>
          <w:sz w:val="26"/>
          <w:szCs w:val="26"/>
        </w:rPr>
        <w:t>, số thuế GTGT phải nộp theo phương pháp tính trực tiếp trên giá trị gia tăng được tính như sau:</w:t>
      </w:r>
    </w:p>
    <w:p w14:paraId="07B7FB1D" w14:textId="77777777" w:rsidR="00B22250" w:rsidRPr="00934C24" w:rsidRDefault="00B22250" w:rsidP="00B22250">
      <w:pPr>
        <w:pStyle w:val="NormalWeb"/>
        <w:spacing w:before="0" w:beforeAutospacing="0" w:after="120" w:afterAutospacing="0"/>
        <w:jc w:val="both"/>
        <w:rPr>
          <w:spacing w:val="2"/>
          <w:sz w:val="26"/>
          <w:szCs w:val="26"/>
        </w:rPr>
      </w:pPr>
      <w:r w:rsidRPr="00934C24">
        <w:rPr>
          <w:rStyle w:val="Strong"/>
          <w:spacing w:val="2"/>
          <w:sz w:val="26"/>
          <w:szCs w:val="26"/>
        </w:rPr>
        <w:t>Như vậy</w:t>
      </w:r>
      <w:r w:rsidRPr="00934C24">
        <w:rPr>
          <w:spacing w:val="2"/>
          <w:sz w:val="26"/>
          <w:szCs w:val="26"/>
        </w:rPr>
        <w:t>, đối với cơ sở kinh doanh (bao gồm cả hộ kinh doanh, cá nhân kinh doanh) tính thuế GTGT theo phương pháp tỷ lệ % trên doanh thu thuộc đối tượng được giảm 20% mức tỷ lệ % để tính thuế giá trị gia tăng thì số tiền thuế GTGT được giảm, số tiền thuế GTGT phải nộp được tính theo công thức sau:</w:t>
      </w:r>
    </w:p>
    <w:tbl>
      <w:tblPr>
        <w:tblW w:w="9654" w:type="dxa"/>
        <w:jc w:val="center"/>
        <w:tblCellMar>
          <w:top w:w="75" w:type="dxa"/>
          <w:left w:w="75" w:type="dxa"/>
          <w:bottom w:w="75" w:type="dxa"/>
          <w:right w:w="75" w:type="dxa"/>
        </w:tblCellMar>
        <w:tblLook w:val="04A0" w:firstRow="1" w:lastRow="0" w:firstColumn="1" w:lastColumn="0" w:noHBand="0" w:noVBand="1"/>
      </w:tblPr>
      <w:tblGrid>
        <w:gridCol w:w="4369"/>
        <w:gridCol w:w="370"/>
        <w:gridCol w:w="1738"/>
        <w:gridCol w:w="348"/>
        <w:gridCol w:w="1649"/>
        <w:gridCol w:w="348"/>
        <w:gridCol w:w="832"/>
      </w:tblGrid>
      <w:tr w:rsidR="00B22250" w:rsidRPr="00934C24" w14:paraId="5AB05836" w14:textId="77777777" w:rsidTr="00B22250">
        <w:trPr>
          <w:jc w:val="center"/>
        </w:trPr>
        <w:tc>
          <w:tcPr>
            <w:tcW w:w="0" w:type="auto"/>
            <w:vAlign w:val="center"/>
            <w:hideMark/>
          </w:tcPr>
          <w:p w14:paraId="38293EC2"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Số tiền thuế GTGT được giảm</w:t>
            </w:r>
          </w:p>
        </w:tc>
        <w:tc>
          <w:tcPr>
            <w:tcW w:w="0" w:type="auto"/>
            <w:vAlign w:val="center"/>
            <w:hideMark/>
          </w:tcPr>
          <w:p w14:paraId="21596D4C"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w:t>
            </w:r>
          </w:p>
        </w:tc>
        <w:tc>
          <w:tcPr>
            <w:tcW w:w="0" w:type="auto"/>
            <w:vAlign w:val="center"/>
            <w:hideMark/>
          </w:tcPr>
          <w:p w14:paraId="7EC2C7C2"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Tỷ lệ % (*)</w:t>
            </w:r>
          </w:p>
        </w:tc>
        <w:tc>
          <w:tcPr>
            <w:tcW w:w="0" w:type="auto"/>
            <w:vAlign w:val="center"/>
            <w:hideMark/>
          </w:tcPr>
          <w:p w14:paraId="117664CD"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x</w:t>
            </w:r>
          </w:p>
        </w:tc>
        <w:tc>
          <w:tcPr>
            <w:tcW w:w="0" w:type="auto"/>
            <w:vAlign w:val="center"/>
            <w:hideMark/>
          </w:tcPr>
          <w:p w14:paraId="0605C1C0"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Doanh thu</w:t>
            </w:r>
          </w:p>
        </w:tc>
        <w:tc>
          <w:tcPr>
            <w:tcW w:w="0" w:type="auto"/>
            <w:vAlign w:val="center"/>
            <w:hideMark/>
          </w:tcPr>
          <w:p w14:paraId="25E69BD9"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x</w:t>
            </w:r>
          </w:p>
        </w:tc>
        <w:tc>
          <w:tcPr>
            <w:tcW w:w="0" w:type="auto"/>
            <w:vAlign w:val="center"/>
            <w:hideMark/>
          </w:tcPr>
          <w:p w14:paraId="1AF5970C"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20%</w:t>
            </w:r>
          </w:p>
        </w:tc>
      </w:tr>
    </w:tbl>
    <w:p w14:paraId="3A34F9F1" w14:textId="77777777" w:rsidR="00B22250" w:rsidRPr="00934C24" w:rsidRDefault="00B22250" w:rsidP="00B22250">
      <w:pPr>
        <w:rPr>
          <w:rFonts w:ascii="Times New Roman" w:hAnsi="Times New Roman" w:cs="Times New Roman"/>
          <w:vanish/>
          <w:spacing w:val="2"/>
          <w:sz w:val="26"/>
          <w:szCs w:val="26"/>
        </w:rPr>
      </w:pPr>
    </w:p>
    <w:tbl>
      <w:tblPr>
        <w:tblW w:w="9654" w:type="dxa"/>
        <w:jc w:val="center"/>
        <w:tblCellMar>
          <w:top w:w="75" w:type="dxa"/>
          <w:left w:w="75" w:type="dxa"/>
          <w:bottom w:w="75" w:type="dxa"/>
          <w:right w:w="75" w:type="dxa"/>
        </w:tblCellMar>
        <w:tblLook w:val="04A0" w:firstRow="1" w:lastRow="0" w:firstColumn="1" w:lastColumn="0" w:noHBand="0" w:noVBand="1"/>
      </w:tblPr>
      <w:tblGrid>
        <w:gridCol w:w="4231"/>
        <w:gridCol w:w="381"/>
        <w:gridCol w:w="1783"/>
        <w:gridCol w:w="357"/>
        <w:gridCol w:w="1692"/>
        <w:gridCol w:w="357"/>
        <w:gridCol w:w="853"/>
      </w:tblGrid>
      <w:tr w:rsidR="00B22250" w:rsidRPr="00934C24" w14:paraId="764142D3" w14:textId="77777777" w:rsidTr="00B22250">
        <w:trPr>
          <w:jc w:val="center"/>
        </w:trPr>
        <w:tc>
          <w:tcPr>
            <w:tcW w:w="0" w:type="auto"/>
            <w:vAlign w:val="center"/>
            <w:hideMark/>
          </w:tcPr>
          <w:p w14:paraId="1D6562BA"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Số tiền thuế GTGT phải nộp</w:t>
            </w:r>
          </w:p>
        </w:tc>
        <w:tc>
          <w:tcPr>
            <w:tcW w:w="0" w:type="auto"/>
            <w:vAlign w:val="center"/>
            <w:hideMark/>
          </w:tcPr>
          <w:p w14:paraId="55893AAF"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w:t>
            </w:r>
          </w:p>
        </w:tc>
        <w:tc>
          <w:tcPr>
            <w:tcW w:w="0" w:type="auto"/>
            <w:vAlign w:val="center"/>
            <w:hideMark/>
          </w:tcPr>
          <w:p w14:paraId="0C9D1F7F"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Tỷ lệ % (*)</w:t>
            </w:r>
          </w:p>
        </w:tc>
        <w:tc>
          <w:tcPr>
            <w:tcW w:w="0" w:type="auto"/>
            <w:vAlign w:val="center"/>
            <w:hideMark/>
          </w:tcPr>
          <w:p w14:paraId="02CE0F67"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x</w:t>
            </w:r>
          </w:p>
        </w:tc>
        <w:tc>
          <w:tcPr>
            <w:tcW w:w="0" w:type="auto"/>
            <w:vAlign w:val="center"/>
            <w:hideMark/>
          </w:tcPr>
          <w:p w14:paraId="363181BD"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Doanh thu</w:t>
            </w:r>
          </w:p>
        </w:tc>
        <w:tc>
          <w:tcPr>
            <w:tcW w:w="0" w:type="auto"/>
            <w:vAlign w:val="center"/>
            <w:hideMark/>
          </w:tcPr>
          <w:p w14:paraId="244B06A8"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x</w:t>
            </w:r>
          </w:p>
        </w:tc>
        <w:tc>
          <w:tcPr>
            <w:tcW w:w="0" w:type="auto"/>
            <w:vAlign w:val="center"/>
            <w:hideMark/>
          </w:tcPr>
          <w:p w14:paraId="6D4B2116" w14:textId="77777777" w:rsidR="00B22250" w:rsidRPr="00934C24" w:rsidRDefault="00B22250" w:rsidP="00B22250">
            <w:pPr>
              <w:pStyle w:val="NormalWeb"/>
              <w:spacing w:before="0" w:beforeAutospacing="0" w:after="120" w:afterAutospacing="0"/>
              <w:jc w:val="center"/>
              <w:rPr>
                <w:sz w:val="26"/>
                <w:szCs w:val="26"/>
              </w:rPr>
            </w:pPr>
            <w:r w:rsidRPr="00934C24">
              <w:rPr>
                <w:rStyle w:val="Strong"/>
                <w:sz w:val="26"/>
                <w:szCs w:val="26"/>
              </w:rPr>
              <w:t>80%</w:t>
            </w:r>
          </w:p>
        </w:tc>
      </w:tr>
    </w:tbl>
    <w:p w14:paraId="40AD7FFB" w14:textId="77777777" w:rsidR="00B22250" w:rsidRPr="00934C24" w:rsidRDefault="00B22250" w:rsidP="00B22250">
      <w:pPr>
        <w:pStyle w:val="NormalWeb"/>
        <w:spacing w:before="0" w:beforeAutospacing="0" w:after="120" w:afterAutospacing="0"/>
        <w:jc w:val="both"/>
        <w:rPr>
          <w:spacing w:val="2"/>
          <w:sz w:val="26"/>
          <w:szCs w:val="26"/>
        </w:rPr>
      </w:pPr>
      <w:r w:rsidRPr="00934C24">
        <w:rPr>
          <w:rStyle w:val="Strong"/>
          <w:spacing w:val="2"/>
          <w:sz w:val="26"/>
          <w:szCs w:val="26"/>
        </w:rPr>
        <w:t>(*)</w:t>
      </w:r>
      <w:r w:rsidRPr="00934C24">
        <w:rPr>
          <w:spacing w:val="2"/>
          <w:sz w:val="26"/>
          <w:szCs w:val="26"/>
        </w:rPr>
        <w:t> Tỷ lệ % để tính thuế GTGT trên doanh thu được quy định theo từng hoạt động như sau:</w:t>
      </w:r>
    </w:p>
    <w:p w14:paraId="5B13863D"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Phân phối, cung cấp hàng hóa: 1%;</w:t>
      </w:r>
    </w:p>
    <w:p w14:paraId="1711CBFF"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xây dựng không bao thầu nguyên vật liệu: 5%;</w:t>
      </w:r>
    </w:p>
    <w:p w14:paraId="20CBB674"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Sản xuất, vận tải, dịch vụ có gắn với hàng hóa, xây dựng có bao thầu nguyên vật liệu: 3%;</w:t>
      </w:r>
    </w:p>
    <w:p w14:paraId="42233830"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Hoạt động kinh doanh khác: 2%.</w:t>
      </w:r>
    </w:p>
    <w:p w14:paraId="5C2F5E2E" w14:textId="77777777" w:rsidR="00B22250" w:rsidRPr="00934C24" w:rsidRDefault="00B22250" w:rsidP="00B22250">
      <w:pPr>
        <w:pStyle w:val="NormalWeb"/>
        <w:spacing w:before="0" w:beforeAutospacing="0" w:after="120" w:afterAutospacing="0"/>
        <w:jc w:val="both"/>
        <w:rPr>
          <w:rStyle w:val="Emphasis"/>
          <w:spacing w:val="2"/>
          <w:sz w:val="26"/>
          <w:szCs w:val="26"/>
        </w:rPr>
      </w:pPr>
      <w:r w:rsidRPr="00934C24">
        <w:rPr>
          <w:rStyle w:val="Emphasis"/>
          <w:spacing w:val="2"/>
          <w:sz w:val="26"/>
          <w:szCs w:val="26"/>
        </w:rPr>
        <w:t>(Theo điểm b khoản 2 Điều 13 </w:t>
      </w:r>
      <w:hyperlink r:id="rId7" w:tgtFrame="_blank" w:history="1">
        <w:r w:rsidRPr="00934C24">
          <w:rPr>
            <w:rStyle w:val="Hyperlink"/>
            <w:i/>
            <w:iCs/>
            <w:color w:val="auto"/>
            <w:spacing w:val="2"/>
            <w:sz w:val="26"/>
            <w:szCs w:val="26"/>
          </w:rPr>
          <w:t>Thông tư 219/2013/TT-BTC</w:t>
        </w:r>
      </w:hyperlink>
      <w:r w:rsidRPr="00934C24">
        <w:rPr>
          <w:rStyle w:val="Emphasis"/>
          <w:spacing w:val="2"/>
          <w:sz w:val="26"/>
          <w:szCs w:val="26"/>
        </w:rPr>
        <w:t>).</w:t>
      </w:r>
    </w:p>
    <w:p w14:paraId="372881E2" w14:textId="0258AFAE" w:rsidR="00B22250" w:rsidRPr="00934C24" w:rsidRDefault="00B22250" w:rsidP="00B22250">
      <w:pPr>
        <w:pStyle w:val="NormalWeb"/>
        <w:spacing w:before="0" w:beforeAutospacing="0" w:after="120" w:afterAutospacing="0"/>
        <w:rPr>
          <w:rStyle w:val="Strong"/>
          <w:spacing w:val="2"/>
          <w:sz w:val="26"/>
          <w:szCs w:val="26"/>
        </w:rPr>
      </w:pPr>
      <w:r w:rsidRPr="00934C24">
        <w:rPr>
          <w:rStyle w:val="Strong"/>
          <w:spacing w:val="2"/>
          <w:sz w:val="26"/>
          <w:szCs w:val="26"/>
        </w:rPr>
        <w:t xml:space="preserve">2.Bảng danh mục ngành nghề tính thuế GTGT theo tỷ lệ % trên doanh thu </w:t>
      </w:r>
    </w:p>
    <w:p w14:paraId="203F6D88" w14:textId="262425B9" w:rsidR="00B22250" w:rsidRPr="00934C24" w:rsidRDefault="00B22250" w:rsidP="00B22250">
      <w:pPr>
        <w:pStyle w:val="NormalWeb"/>
        <w:spacing w:before="0" w:beforeAutospacing="0" w:after="120" w:afterAutospacing="0"/>
        <w:jc w:val="both"/>
        <w:rPr>
          <w:b/>
          <w:bCs/>
          <w:spacing w:val="2"/>
          <w:sz w:val="26"/>
          <w:szCs w:val="26"/>
        </w:rPr>
      </w:pPr>
      <w:r w:rsidRPr="00934C24">
        <w:rPr>
          <w:rStyle w:val="Strong"/>
          <w:b w:val="0"/>
          <w:bCs w:val="0"/>
          <w:spacing w:val="2"/>
          <w:sz w:val="26"/>
          <w:szCs w:val="26"/>
        </w:rPr>
        <w:t>2.</w:t>
      </w:r>
      <w:r w:rsidRPr="00934C24">
        <w:rPr>
          <w:rStyle w:val="Strong"/>
          <w:b w:val="0"/>
          <w:bCs w:val="0"/>
          <w:spacing w:val="2"/>
          <w:sz w:val="26"/>
          <w:szCs w:val="26"/>
        </w:rPr>
        <w:t>1</w:t>
      </w:r>
      <w:r w:rsidRPr="00934C24">
        <w:rPr>
          <w:rStyle w:val="Strong"/>
          <w:b w:val="0"/>
          <w:bCs w:val="0"/>
          <w:spacing w:val="2"/>
          <w:sz w:val="26"/>
          <w:szCs w:val="26"/>
        </w:rPr>
        <w:t>.</w:t>
      </w:r>
      <w:r w:rsidRPr="00934C24">
        <w:rPr>
          <w:rStyle w:val="Strong"/>
          <w:b w:val="0"/>
          <w:bCs w:val="0"/>
          <w:spacing w:val="2"/>
          <w:sz w:val="26"/>
          <w:szCs w:val="26"/>
        </w:rPr>
        <w:t xml:space="preserve"> Phân phối, cung cấp hàng hóa: tỷ lệ 1%</w:t>
      </w:r>
    </w:p>
    <w:p w14:paraId="3C59AACF"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Hoạt động bán buôn, bán lẻ các loại hàng hóa (trừ giá trị hàng hóa đại lý bán đúng giá hưởng hoa hồng).</w:t>
      </w:r>
    </w:p>
    <w:p w14:paraId="56FAAE13" w14:textId="00A7FB8E" w:rsidR="00B22250" w:rsidRPr="00934C24" w:rsidRDefault="00B22250" w:rsidP="00B22250">
      <w:pPr>
        <w:pStyle w:val="NormalWeb"/>
        <w:spacing w:before="0" w:beforeAutospacing="0" w:after="120" w:afterAutospacing="0"/>
        <w:jc w:val="both"/>
        <w:rPr>
          <w:b/>
          <w:bCs/>
          <w:spacing w:val="2"/>
          <w:sz w:val="26"/>
          <w:szCs w:val="26"/>
        </w:rPr>
      </w:pPr>
      <w:r w:rsidRPr="00934C24">
        <w:rPr>
          <w:rStyle w:val="Strong"/>
          <w:b w:val="0"/>
          <w:bCs w:val="0"/>
          <w:spacing w:val="2"/>
          <w:sz w:val="26"/>
          <w:szCs w:val="26"/>
        </w:rPr>
        <w:t>2</w:t>
      </w:r>
      <w:r w:rsidRPr="00934C24">
        <w:rPr>
          <w:rStyle w:val="Strong"/>
          <w:b w:val="0"/>
          <w:bCs w:val="0"/>
          <w:spacing w:val="2"/>
          <w:sz w:val="26"/>
          <w:szCs w:val="26"/>
        </w:rPr>
        <w:t>.2</w:t>
      </w:r>
      <w:r w:rsidRPr="00934C24">
        <w:rPr>
          <w:rStyle w:val="Strong"/>
          <w:b w:val="0"/>
          <w:bCs w:val="0"/>
          <w:spacing w:val="2"/>
          <w:sz w:val="26"/>
          <w:szCs w:val="26"/>
        </w:rPr>
        <w:t xml:space="preserve"> Dịch vụ, xây dựng không bao thầu nguyên vật liệu: tỷ lệ 5%</w:t>
      </w:r>
    </w:p>
    <w:p w14:paraId="69F4F7CD"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lastRenderedPageBreak/>
        <w:t>- Dịch vụ lưu trú, kinh doanh khách sạn, nhà nghỉ, nhà trọ;</w:t>
      </w:r>
    </w:p>
    <w:p w14:paraId="75D358B3"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cho thuê nhà, đất, cửa hàng, nhà xưởng, cho thuê tài sản và đồ dùng cá nhân khác;</w:t>
      </w:r>
    </w:p>
    <w:p w14:paraId="47FEB414"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cho thuê kho bãi, máy móc, phương tiện vận tải; Bốc xếp hàng hóa và hoạt động dịch vụ hỗ trợ khác liên quan đến vận tải như kinh doanh bến bãi, bán vé, trông giữ phương tiện;</w:t>
      </w:r>
    </w:p>
    <w:p w14:paraId="114F3038"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bưu chính, chuyển phát thư tín và bưu kiện;</w:t>
      </w:r>
    </w:p>
    <w:p w14:paraId="25F99CBA"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môi giới, đấu giá và hoa hồng đại lý;</w:t>
      </w:r>
    </w:p>
    <w:p w14:paraId="73FE50E0"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tư vấn pháp luật, tư vấn tài chính, kế toán, kiểm toán; dịch vụ làm thủ tục hành chính thuế, hải quan;</w:t>
      </w:r>
    </w:p>
    <w:p w14:paraId="7E71A240"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xử lý dữ liệu, cho thuê cổng thông tin, thiết bị công nghệ thông tin, viễn thông;</w:t>
      </w:r>
    </w:p>
    <w:p w14:paraId="686A5B45"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hỗ trợ văn phòng và các dịch vụ hỗ trợ kinh doanh khác;</w:t>
      </w:r>
    </w:p>
    <w:p w14:paraId="533C672B"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tắm hơi, massage, karaoke, vũ trường, bi-a, internet, game;</w:t>
      </w:r>
    </w:p>
    <w:p w14:paraId="4F4EB530"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may đo, giặt là; Cắt tóc, làm đầu, gội đầu;</w:t>
      </w:r>
    </w:p>
    <w:p w14:paraId="1989C0BE"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sửa chữa khác bao gồm: sửa chữa máy vi tính và các đồ dùng gia đình;</w:t>
      </w:r>
    </w:p>
    <w:p w14:paraId="54B3E561"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tư vấn, thiết kế, giám sát thi công xây dựng cơ bản;</w:t>
      </w:r>
    </w:p>
    <w:p w14:paraId="1473A876"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Các dịch vụ khác;</w:t>
      </w:r>
    </w:p>
    <w:p w14:paraId="341271C3" w14:textId="77777777" w:rsidR="00B22250" w:rsidRPr="00934C24" w:rsidRDefault="00B22250" w:rsidP="00B22250">
      <w:pPr>
        <w:pStyle w:val="NormalWeb"/>
        <w:spacing w:before="0" w:beforeAutospacing="0" w:after="120" w:afterAutospacing="0"/>
        <w:jc w:val="both"/>
        <w:rPr>
          <w:b/>
          <w:bCs/>
          <w:spacing w:val="2"/>
          <w:sz w:val="26"/>
          <w:szCs w:val="26"/>
        </w:rPr>
      </w:pPr>
      <w:r w:rsidRPr="00934C24">
        <w:rPr>
          <w:spacing w:val="2"/>
          <w:sz w:val="26"/>
          <w:szCs w:val="26"/>
        </w:rPr>
        <w:t xml:space="preserve">- Xây dựng, lắp đặt không bao thầu nguyên vật liệu (bao gồm cả lắp đặt máy móc, thiết </w:t>
      </w:r>
      <w:r w:rsidRPr="00934C24">
        <w:rPr>
          <w:b/>
          <w:bCs/>
          <w:spacing w:val="2"/>
          <w:sz w:val="26"/>
          <w:szCs w:val="26"/>
        </w:rPr>
        <w:t>bị công nghiệp).</w:t>
      </w:r>
    </w:p>
    <w:p w14:paraId="42A316D6" w14:textId="088822F8" w:rsidR="00B22250" w:rsidRPr="00934C24" w:rsidRDefault="00B22250" w:rsidP="00B22250">
      <w:pPr>
        <w:pStyle w:val="NormalWeb"/>
        <w:spacing w:before="0" w:beforeAutospacing="0" w:after="120" w:afterAutospacing="0"/>
        <w:jc w:val="both"/>
        <w:rPr>
          <w:b/>
          <w:bCs/>
          <w:spacing w:val="2"/>
          <w:sz w:val="26"/>
          <w:szCs w:val="26"/>
        </w:rPr>
      </w:pPr>
      <w:r w:rsidRPr="00934C24">
        <w:rPr>
          <w:rStyle w:val="Strong"/>
          <w:spacing w:val="2"/>
          <w:sz w:val="26"/>
          <w:szCs w:val="26"/>
        </w:rPr>
        <w:t>2.3.</w:t>
      </w:r>
      <w:r w:rsidRPr="00934C24">
        <w:rPr>
          <w:rStyle w:val="Strong"/>
          <w:spacing w:val="2"/>
          <w:sz w:val="26"/>
          <w:szCs w:val="26"/>
        </w:rPr>
        <w:t xml:space="preserve"> Sản xuất, vận tải, dịch vụ có gắn với hàng hóa, xây dựng có bao thầu nguyên vật liệu: tỷ lệ 3%</w:t>
      </w:r>
    </w:p>
    <w:p w14:paraId="05AFF726"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Sản xuất, gia công, chế biến sản phẩm hàng hóa;</w:t>
      </w:r>
    </w:p>
    <w:p w14:paraId="4AA91364"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Khai thác, chế biến khoáng sản;</w:t>
      </w:r>
    </w:p>
    <w:p w14:paraId="5359D212"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Vận tải hàng hóa, vận tải hành khách;</w:t>
      </w:r>
    </w:p>
    <w:p w14:paraId="37DCE836"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kèm theo bán hàng hóa như dịch vụ đào tạo, bảo dưỡng, chuyển giao công nghệ kèm theo bán sản phẩm;</w:t>
      </w:r>
    </w:p>
    <w:p w14:paraId="30C53A22"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ăn uống;</w:t>
      </w:r>
    </w:p>
    <w:p w14:paraId="1953EE04"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Dịch vụ sửa chữa và bảo dưỡng máy móc thiết bị, phương tiện vận tải, ô tô, mô tô, xe máy và xe có động cơ khác;</w:t>
      </w:r>
    </w:p>
    <w:p w14:paraId="43DEC3C1"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Xây dựng, lắp đặt có bao thầu nguyên vật liệu (bao gồm cả lắp đặt máy móc, thiết bị công nghiệp).</w:t>
      </w:r>
    </w:p>
    <w:p w14:paraId="540894B6" w14:textId="291957CC" w:rsidR="00B22250" w:rsidRPr="00934C24" w:rsidRDefault="00B22250" w:rsidP="00B22250">
      <w:pPr>
        <w:pStyle w:val="NormalWeb"/>
        <w:spacing w:before="0" w:beforeAutospacing="0" w:after="120" w:afterAutospacing="0"/>
        <w:jc w:val="both"/>
        <w:rPr>
          <w:b/>
          <w:bCs/>
          <w:spacing w:val="2"/>
          <w:sz w:val="26"/>
          <w:szCs w:val="26"/>
        </w:rPr>
      </w:pPr>
      <w:r w:rsidRPr="00934C24">
        <w:rPr>
          <w:rStyle w:val="Strong"/>
          <w:b w:val="0"/>
          <w:bCs w:val="0"/>
          <w:spacing w:val="2"/>
          <w:sz w:val="26"/>
          <w:szCs w:val="26"/>
        </w:rPr>
        <w:t>2.4</w:t>
      </w:r>
      <w:r w:rsidRPr="00934C24">
        <w:rPr>
          <w:rStyle w:val="Strong"/>
          <w:b w:val="0"/>
          <w:bCs w:val="0"/>
          <w:spacing w:val="2"/>
          <w:sz w:val="26"/>
          <w:szCs w:val="26"/>
        </w:rPr>
        <w:t xml:space="preserve"> Hoạt động kinh doanh khác: tỷ lệ 2%</w:t>
      </w:r>
    </w:p>
    <w:p w14:paraId="683DDC89"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Hoạt động sản xuất các sản phẩm thuộc đối tượng tính thuế GTGT theo phương pháp khấu trừ với mức thuế suất thuế GTGT 5%;</w:t>
      </w:r>
    </w:p>
    <w:p w14:paraId="28426C7B"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lastRenderedPageBreak/>
        <w:t>- Hoạt động cung cấp các dịch vụ thuộc đối tượng tính thuế GTGT theo phương pháp khấu trừ với mức thuế suất thuế GTGT 5%;</w:t>
      </w:r>
    </w:p>
    <w:p w14:paraId="17487610"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Các hoạt động khác chưa được liệt kê ở các nhóm 1, 2, 3 nêu trên.</w:t>
      </w:r>
    </w:p>
    <w:p w14:paraId="3A923A1D" w14:textId="34580BE2" w:rsidR="00B22250" w:rsidRPr="00934C24" w:rsidRDefault="00B22250" w:rsidP="00B22250">
      <w:pPr>
        <w:pStyle w:val="NormalWeb"/>
        <w:spacing w:before="0" w:beforeAutospacing="0" w:after="120" w:afterAutospacing="0"/>
        <w:jc w:val="both"/>
        <w:rPr>
          <w:b/>
          <w:bCs/>
          <w:spacing w:val="2"/>
          <w:sz w:val="26"/>
          <w:szCs w:val="26"/>
        </w:rPr>
      </w:pPr>
      <w:r w:rsidRPr="00934C24">
        <w:rPr>
          <w:rStyle w:val="Strong"/>
          <w:b w:val="0"/>
          <w:bCs w:val="0"/>
          <w:spacing w:val="2"/>
          <w:sz w:val="26"/>
          <w:szCs w:val="26"/>
        </w:rPr>
        <w:t>(*) Kể từ ngày 01/7/2023 đến hết ngày 31/12/2023, công ty cổ phần tính thuế GTGT theo phương pháp này được giảm 20% mức tỷ lệ % để tính thuế GTGT nêu trên khi thực hiện xuất hóa đơn đối với hàng hóa, dịch vụ được giảm thuế GTGT theo quy định tại khoản 1 Điều 1 </w:t>
      </w:r>
      <w:hyperlink r:id="rId8" w:tgtFrame="_blank" w:history="1">
        <w:r w:rsidRPr="00934C24">
          <w:rPr>
            <w:rStyle w:val="Hyperlink"/>
            <w:b/>
            <w:bCs/>
            <w:color w:val="auto"/>
            <w:spacing w:val="2"/>
            <w:sz w:val="26"/>
            <w:szCs w:val="26"/>
            <w:u w:val="none"/>
          </w:rPr>
          <w:t>Nghị định 44/2023/NĐ-CP</w:t>
        </w:r>
      </w:hyperlink>
      <w:r w:rsidRPr="00934C24">
        <w:rPr>
          <w:rStyle w:val="Strong"/>
          <w:b w:val="0"/>
          <w:bCs w:val="0"/>
          <w:spacing w:val="2"/>
          <w:sz w:val="26"/>
          <w:szCs w:val="26"/>
        </w:rPr>
        <w:t>.</w:t>
      </w:r>
    </w:p>
    <w:p w14:paraId="7CDF7864" w14:textId="4A7E7D8D" w:rsidR="00B22250" w:rsidRPr="00934C24" w:rsidRDefault="00B22250" w:rsidP="00B22250">
      <w:pPr>
        <w:pStyle w:val="Heading2"/>
        <w:spacing w:before="0" w:line="300" w:lineRule="atLeast"/>
        <w:jc w:val="both"/>
        <w:rPr>
          <w:rFonts w:ascii="Times New Roman" w:hAnsi="Times New Roman" w:cs="Times New Roman"/>
          <w:color w:val="auto"/>
          <w:spacing w:val="2"/>
        </w:rPr>
      </w:pPr>
      <w:r w:rsidRPr="00934C24">
        <w:rPr>
          <w:rStyle w:val="Strong"/>
          <w:rFonts w:ascii="Times New Roman" w:hAnsi="Times New Roman" w:cs="Times New Roman"/>
          <w:color w:val="auto"/>
          <w:spacing w:val="2"/>
        </w:rPr>
        <w:t>3</w:t>
      </w:r>
      <w:r w:rsidRPr="00934C24">
        <w:rPr>
          <w:rStyle w:val="Strong"/>
          <w:rFonts w:ascii="Times New Roman" w:hAnsi="Times New Roman" w:cs="Times New Roman"/>
          <w:color w:val="auto"/>
          <w:spacing w:val="2"/>
        </w:rPr>
        <w:t>. Cách ghi hóa đơn khi được giảm 20% mức tỷ lệ % để tính thuế GTGT theo Nghị định 44/2023/NĐ-CP</w:t>
      </w:r>
    </w:p>
    <w:p w14:paraId="241A87F2"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Theo điểm b khoản 3 Điều 1 </w:t>
      </w:r>
      <w:hyperlink r:id="rId9" w:tgtFrame="_blank" w:history="1">
        <w:r w:rsidRPr="00934C24">
          <w:rPr>
            <w:rStyle w:val="Hyperlink"/>
            <w:color w:val="auto"/>
            <w:spacing w:val="2"/>
            <w:sz w:val="26"/>
            <w:szCs w:val="26"/>
          </w:rPr>
          <w:t>Nghị định 44/2023/NĐ-CP</w:t>
        </w:r>
      </w:hyperlink>
      <w:r w:rsidRPr="00934C24">
        <w:rPr>
          <w:spacing w:val="2"/>
          <w:sz w:val="26"/>
          <w:szCs w:val="26"/>
        </w:rPr>
        <w:t> quy định về trình tự thực hiện như sau:</w:t>
      </w:r>
    </w:p>
    <w:p w14:paraId="5F062A15" w14:textId="77777777" w:rsidR="00B22250" w:rsidRPr="00934C24" w:rsidRDefault="00B22250" w:rsidP="00B22250">
      <w:pPr>
        <w:pStyle w:val="NormalWeb"/>
        <w:spacing w:before="0" w:beforeAutospacing="0" w:after="120" w:afterAutospacing="0"/>
        <w:jc w:val="both"/>
        <w:rPr>
          <w:spacing w:val="2"/>
          <w:sz w:val="26"/>
          <w:szCs w:val="26"/>
        </w:rPr>
      </w:pPr>
      <w:r w:rsidRPr="00934C24">
        <w:rPr>
          <w:rStyle w:val="Emphasis"/>
          <w:spacing w:val="2"/>
          <w:sz w:val="26"/>
          <w:szCs w:val="26"/>
        </w:rPr>
        <w:t>b) 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w:t>
      </w:r>
      <w:hyperlink r:id="rId10" w:tgtFrame="_blank" w:history="1">
        <w:r w:rsidRPr="00934C24">
          <w:rPr>
            <w:rStyle w:val="Hyperlink"/>
            <w:i/>
            <w:iCs/>
            <w:color w:val="auto"/>
            <w:spacing w:val="2"/>
            <w:sz w:val="26"/>
            <w:szCs w:val="26"/>
          </w:rPr>
          <w:t>Nghị quyết số 101/2023/QH15</w:t>
        </w:r>
      </w:hyperlink>
      <w:r w:rsidRPr="00934C24">
        <w:rPr>
          <w:rStyle w:val="Emphasis"/>
          <w:spacing w:val="2"/>
          <w:sz w:val="26"/>
          <w:szCs w:val="26"/>
        </w:rPr>
        <w:t>”.”</w:t>
      </w:r>
    </w:p>
    <w:p w14:paraId="0A8943F2"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Theo đó, đối với cơ sở kinh doanh (bao gồm cả hộ kinh doanh, cá nhân kinh doanh) tính thuế GTGT theo phương pháp tỷ lệ % trên doanh thu thuộc đối tượng được giảm 20% mức tỷ lệ % để tính thuế GTGT thì khi lập hóa đơn phải thực hiện như sau:</w:t>
      </w:r>
    </w:p>
    <w:p w14:paraId="4F0045FF"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Tại cột “</w:t>
      </w:r>
      <w:r w:rsidRPr="00934C24">
        <w:rPr>
          <w:rStyle w:val="Emphasis"/>
          <w:spacing w:val="2"/>
          <w:sz w:val="26"/>
          <w:szCs w:val="26"/>
        </w:rPr>
        <w:t>Thành tiền</w:t>
      </w:r>
      <w:r w:rsidRPr="00934C24">
        <w:rPr>
          <w:spacing w:val="2"/>
          <w:sz w:val="26"/>
          <w:szCs w:val="26"/>
        </w:rPr>
        <w:t>” ghi đầy đủ tiền hàng hóa, dịch vụ trước khi giảm;</w:t>
      </w:r>
    </w:p>
    <w:p w14:paraId="588A327C"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 Tại dòng “</w:t>
      </w:r>
      <w:r w:rsidRPr="00934C24">
        <w:rPr>
          <w:rStyle w:val="Emphasis"/>
          <w:spacing w:val="2"/>
          <w:sz w:val="26"/>
          <w:szCs w:val="26"/>
        </w:rPr>
        <w:t>Cộng tiền hàng hóa, dịch vụ</w:t>
      </w:r>
      <w:r w:rsidRPr="00934C24">
        <w:rPr>
          <w:spacing w:val="2"/>
          <w:sz w:val="26"/>
          <w:szCs w:val="26"/>
        </w:rPr>
        <w:t>” ghi theo số đã giảm 20% mức tỷ lệ % trên doanh thu, đồng thời ghi chú: “</w:t>
      </w:r>
      <w:r w:rsidRPr="00934C24">
        <w:rPr>
          <w:rStyle w:val="Emphasis"/>
          <w:spacing w:val="2"/>
          <w:sz w:val="26"/>
          <w:szCs w:val="26"/>
        </w:rPr>
        <w:t>đã giảm... (số tiền) tương ứng 20% mức tỷ lệ % để tính thuế giá trị gia tăng theo </w:t>
      </w:r>
      <w:hyperlink r:id="rId11" w:tgtFrame="_blank" w:history="1">
        <w:r w:rsidRPr="00934C24">
          <w:rPr>
            <w:rStyle w:val="Hyperlink"/>
            <w:i/>
            <w:iCs/>
            <w:color w:val="auto"/>
            <w:spacing w:val="2"/>
            <w:sz w:val="26"/>
            <w:szCs w:val="26"/>
          </w:rPr>
          <w:t>Nghị quyết số 101/2023/QH15</w:t>
        </w:r>
      </w:hyperlink>
      <w:r w:rsidRPr="00934C24">
        <w:rPr>
          <w:spacing w:val="2"/>
          <w:sz w:val="26"/>
          <w:szCs w:val="26"/>
        </w:rPr>
        <w:t>”.</w:t>
      </w:r>
    </w:p>
    <w:p w14:paraId="48BF99A3" w14:textId="23653572" w:rsidR="00B22250" w:rsidRPr="00934C24" w:rsidRDefault="00B22250" w:rsidP="00B22250">
      <w:pPr>
        <w:pStyle w:val="Heading2"/>
        <w:spacing w:before="0" w:line="300" w:lineRule="atLeast"/>
        <w:jc w:val="both"/>
        <w:rPr>
          <w:rFonts w:ascii="Times New Roman" w:hAnsi="Times New Roman" w:cs="Times New Roman"/>
          <w:color w:val="auto"/>
          <w:spacing w:val="2"/>
        </w:rPr>
      </w:pPr>
      <w:r w:rsidRPr="00934C24">
        <w:rPr>
          <w:rStyle w:val="Strong"/>
          <w:rFonts w:ascii="Times New Roman" w:hAnsi="Times New Roman" w:cs="Times New Roman"/>
          <w:color w:val="auto"/>
          <w:spacing w:val="2"/>
        </w:rPr>
        <w:t>4</w:t>
      </w:r>
      <w:r w:rsidRPr="00934C24">
        <w:rPr>
          <w:rStyle w:val="Strong"/>
          <w:rFonts w:ascii="Times New Roman" w:hAnsi="Times New Roman" w:cs="Times New Roman"/>
          <w:color w:val="auto"/>
          <w:spacing w:val="2"/>
        </w:rPr>
        <w:t>. Thời hạn được giảm 20% mức tỷ lệ % để tính thuế GTGT theo Nghị định 44/2023/NĐ-CP</w:t>
      </w:r>
    </w:p>
    <w:p w14:paraId="7975CCD7" w14:textId="77777777" w:rsidR="00B22250" w:rsidRPr="00934C24" w:rsidRDefault="00B22250" w:rsidP="00B22250">
      <w:pPr>
        <w:pStyle w:val="NormalWeb"/>
        <w:spacing w:before="0" w:beforeAutospacing="0" w:after="120" w:afterAutospacing="0"/>
        <w:jc w:val="both"/>
        <w:rPr>
          <w:spacing w:val="2"/>
          <w:sz w:val="26"/>
          <w:szCs w:val="26"/>
        </w:rPr>
      </w:pPr>
      <w:r w:rsidRPr="00934C24">
        <w:rPr>
          <w:spacing w:val="2"/>
          <w:sz w:val="26"/>
          <w:szCs w:val="26"/>
        </w:rPr>
        <w:t>Theo quy định tại khoản 1 Điều 2 </w:t>
      </w:r>
      <w:hyperlink r:id="rId12" w:tgtFrame="_blank" w:history="1">
        <w:r w:rsidRPr="00934C24">
          <w:rPr>
            <w:rStyle w:val="Hyperlink"/>
            <w:color w:val="auto"/>
            <w:spacing w:val="2"/>
            <w:sz w:val="26"/>
            <w:szCs w:val="26"/>
          </w:rPr>
          <w:t>Nghị định 44/2023/NĐ-CP</w:t>
        </w:r>
      </w:hyperlink>
      <w:r w:rsidRPr="00934C24">
        <w:rPr>
          <w:spacing w:val="2"/>
          <w:sz w:val="26"/>
          <w:szCs w:val="26"/>
        </w:rPr>
        <w:t>, thời hạn cơ sở kinh doanh (bao gồm cả hộ kinh doanh, cá nhân kinh doanh) tính thuế GTGT theo phương pháp tỷ lệ % trên doanh thu được giảm 20% mức tỷ lệ % để tính thuế GTGT khi thực hiện xuất hóa đơn đối với hàng hóa, dịch vụ được giảm thuế GTGT là từ ngày </w:t>
      </w:r>
      <w:r w:rsidRPr="00934C24">
        <w:rPr>
          <w:rStyle w:val="Strong"/>
          <w:spacing w:val="2"/>
          <w:sz w:val="26"/>
          <w:szCs w:val="26"/>
        </w:rPr>
        <w:t>01/7/2023</w:t>
      </w:r>
      <w:r w:rsidRPr="00934C24">
        <w:rPr>
          <w:spacing w:val="2"/>
          <w:sz w:val="26"/>
          <w:szCs w:val="26"/>
        </w:rPr>
        <w:t> đến hết ngày</w:t>
      </w:r>
      <w:r w:rsidRPr="00934C24">
        <w:rPr>
          <w:rStyle w:val="Strong"/>
          <w:spacing w:val="2"/>
          <w:sz w:val="26"/>
          <w:szCs w:val="26"/>
        </w:rPr>
        <w:t> 31/12/2023</w:t>
      </w:r>
      <w:r w:rsidRPr="00934C24">
        <w:rPr>
          <w:spacing w:val="2"/>
          <w:sz w:val="26"/>
          <w:szCs w:val="26"/>
        </w:rPr>
        <w:t>.</w:t>
      </w:r>
    </w:p>
    <w:p w14:paraId="532DFC70" w14:textId="6B81A865" w:rsidR="00E05E84" w:rsidRPr="004D68EC" w:rsidRDefault="00E05E84" w:rsidP="00B22250">
      <w:pPr>
        <w:pStyle w:val="NormalWeb"/>
        <w:spacing w:before="0" w:beforeAutospacing="0" w:after="120" w:afterAutospacing="0"/>
        <w:jc w:val="both"/>
        <w:rPr>
          <w:b/>
          <w:bCs/>
          <w:spacing w:val="2"/>
          <w:sz w:val="26"/>
          <w:szCs w:val="26"/>
        </w:rPr>
      </w:pPr>
      <w:r w:rsidRPr="004D68EC">
        <w:rPr>
          <w:b/>
          <w:bCs/>
          <w:spacing w:val="2"/>
          <w:sz w:val="26"/>
          <w:szCs w:val="26"/>
        </w:rPr>
        <w:t>Tài liệu tham khảo:</w:t>
      </w:r>
    </w:p>
    <w:p w14:paraId="7C1AB20D" w14:textId="631FEC19" w:rsidR="00E05E84" w:rsidRPr="00934C24" w:rsidRDefault="00E05E84" w:rsidP="00E05E84">
      <w:pPr>
        <w:pStyle w:val="NormalWeb"/>
        <w:numPr>
          <w:ilvl w:val="0"/>
          <w:numId w:val="1"/>
        </w:numPr>
        <w:shd w:val="clear" w:color="auto" w:fill="FFFFFF"/>
        <w:spacing w:before="0" w:beforeAutospacing="0" w:after="0" w:afterAutospacing="0" w:line="234" w:lineRule="atLeast"/>
        <w:jc w:val="center"/>
        <w:rPr>
          <w:color w:val="000000"/>
          <w:sz w:val="26"/>
          <w:szCs w:val="26"/>
        </w:rPr>
      </w:pPr>
      <w:hyperlink r:id="rId13" w:tgtFrame="_blank" w:history="1">
        <w:r w:rsidRPr="00934C24">
          <w:rPr>
            <w:rStyle w:val="Hyperlink"/>
            <w:color w:val="auto"/>
            <w:spacing w:val="2"/>
            <w:sz w:val="26"/>
            <w:szCs w:val="26"/>
          </w:rPr>
          <w:t>Nghị định 44/2023/NĐ-CP</w:t>
        </w:r>
      </w:hyperlink>
      <w:r w:rsidRPr="00934C24">
        <w:rPr>
          <w:spacing w:val="2"/>
          <w:sz w:val="26"/>
          <w:szCs w:val="26"/>
        </w:rPr>
        <w:t xml:space="preserve"> ngày 30/6/</w:t>
      </w:r>
      <w:proofErr w:type="gramStart"/>
      <w:r w:rsidRPr="00934C24">
        <w:rPr>
          <w:spacing w:val="2"/>
          <w:sz w:val="26"/>
          <w:szCs w:val="26"/>
        </w:rPr>
        <w:t xml:space="preserve">2023 </w:t>
      </w:r>
      <w:bookmarkStart w:id="0" w:name="loai_1_name"/>
      <w:r w:rsidRPr="00934C24">
        <w:rPr>
          <w:color w:val="000000"/>
          <w:sz w:val="26"/>
          <w:szCs w:val="26"/>
        </w:rPr>
        <w:t>,</w:t>
      </w:r>
      <w:proofErr w:type="gramEnd"/>
      <w:r w:rsidRPr="00934C24">
        <w:rPr>
          <w:color w:val="000000"/>
          <w:sz w:val="26"/>
          <w:szCs w:val="26"/>
        </w:rPr>
        <w:t xml:space="preserve"> </w:t>
      </w:r>
      <w:r w:rsidRPr="00934C24">
        <w:rPr>
          <w:color w:val="000000"/>
          <w:sz w:val="26"/>
          <w:szCs w:val="26"/>
        </w:rPr>
        <w:t>QUY ĐỊNH CHÍNH SÁCH GIẢM THUẾ GIÁ TRỊ GIA TĂNG THEO NGHỊ QUYẾT SỐ 101/2023/QH15 NGÀY 24 THÁNG 6 NĂM 2023 CỦA QUỐC HỘ</w:t>
      </w:r>
      <w:bookmarkEnd w:id="0"/>
      <w:r w:rsidRPr="00934C24">
        <w:rPr>
          <w:color w:val="000000"/>
          <w:sz w:val="26"/>
          <w:szCs w:val="26"/>
        </w:rPr>
        <w:t>I.</w:t>
      </w:r>
    </w:p>
    <w:p w14:paraId="2D4058FE" w14:textId="57F5431F" w:rsidR="00E05E84" w:rsidRPr="00934C24" w:rsidRDefault="00E05E84" w:rsidP="00934C24">
      <w:pPr>
        <w:pStyle w:val="NormalWeb"/>
        <w:numPr>
          <w:ilvl w:val="0"/>
          <w:numId w:val="1"/>
        </w:numPr>
        <w:shd w:val="clear" w:color="auto" w:fill="FFFFFF"/>
        <w:spacing w:before="0" w:beforeAutospacing="0" w:after="0" w:afterAutospacing="0" w:line="234" w:lineRule="atLeast"/>
        <w:rPr>
          <w:color w:val="000000"/>
          <w:sz w:val="26"/>
          <w:szCs w:val="26"/>
        </w:rPr>
      </w:pPr>
      <w:r w:rsidRPr="00934C24">
        <w:rPr>
          <w:color w:val="000000"/>
          <w:sz w:val="26"/>
          <w:szCs w:val="26"/>
        </w:rPr>
        <w:t>https://thuvienphapluat.vn/phap-luat-doanh-nghiep/bai-viet/cach-tinh-giam-20-muc-ty-le-de-tinh-thue-gtgt-theo-nghi-dinh-44-2023-nd-cp-6168.html</w:t>
      </w:r>
    </w:p>
    <w:p w14:paraId="52709E3D" w14:textId="272D87B9" w:rsidR="0029100A" w:rsidRPr="00934C24" w:rsidRDefault="0029100A" w:rsidP="00B22250">
      <w:pPr>
        <w:rPr>
          <w:rFonts w:ascii="Times New Roman" w:hAnsi="Times New Roman" w:cs="Times New Roman"/>
          <w:sz w:val="26"/>
          <w:szCs w:val="26"/>
        </w:rPr>
      </w:pPr>
    </w:p>
    <w:sectPr w:rsidR="0029100A" w:rsidRPr="00934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E61B5"/>
    <w:multiLevelType w:val="hybridMultilevel"/>
    <w:tmpl w:val="31D4E2BE"/>
    <w:lvl w:ilvl="0" w:tplc="79FAF9DC">
      <w:start w:val="1"/>
      <w:numFmt w:val="decimal"/>
      <w:lvlText w:val="%1."/>
      <w:lvlJc w:val="left"/>
      <w:pPr>
        <w:ind w:left="720" w:hanging="360"/>
      </w:pPr>
      <w:rPr>
        <w:rFonts w:ascii="Times New Roman" w:hAnsi="Times New Roman" w:cs="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78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0A"/>
    <w:rsid w:val="0029100A"/>
    <w:rsid w:val="003B49D1"/>
    <w:rsid w:val="004D68EC"/>
    <w:rsid w:val="00934C24"/>
    <w:rsid w:val="009D06F5"/>
    <w:rsid w:val="00B22250"/>
    <w:rsid w:val="00E05E84"/>
    <w:rsid w:val="00E2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80E2"/>
  <w15:chartTrackingRefBased/>
  <w15:docId w15:val="{6923314F-C830-4F72-B845-8562C891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100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2910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0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29100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910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9100A"/>
    <w:rPr>
      <w:color w:val="0000FF"/>
      <w:u w:val="single"/>
    </w:rPr>
  </w:style>
  <w:style w:type="character" w:styleId="Strong">
    <w:name w:val="Strong"/>
    <w:basedOn w:val="DefaultParagraphFont"/>
    <w:uiPriority w:val="22"/>
    <w:qFormat/>
    <w:rsid w:val="0029100A"/>
    <w:rPr>
      <w:b/>
      <w:bCs/>
    </w:rPr>
  </w:style>
  <w:style w:type="character" w:styleId="Emphasis">
    <w:name w:val="Emphasis"/>
    <w:basedOn w:val="DefaultParagraphFont"/>
    <w:uiPriority w:val="20"/>
    <w:qFormat/>
    <w:rsid w:val="00B222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15775">
      <w:bodyDiv w:val="1"/>
      <w:marLeft w:val="0"/>
      <w:marRight w:val="0"/>
      <w:marTop w:val="0"/>
      <w:marBottom w:val="0"/>
      <w:divBdr>
        <w:top w:val="none" w:sz="0" w:space="0" w:color="auto"/>
        <w:left w:val="none" w:sz="0" w:space="0" w:color="auto"/>
        <w:bottom w:val="none" w:sz="0" w:space="0" w:color="auto"/>
        <w:right w:val="none" w:sz="0" w:space="0" w:color="auto"/>
      </w:divBdr>
    </w:div>
    <w:div w:id="952710553">
      <w:bodyDiv w:val="1"/>
      <w:marLeft w:val="0"/>
      <w:marRight w:val="0"/>
      <w:marTop w:val="0"/>
      <w:marBottom w:val="0"/>
      <w:divBdr>
        <w:top w:val="none" w:sz="0" w:space="0" w:color="auto"/>
        <w:left w:val="none" w:sz="0" w:space="0" w:color="auto"/>
        <w:bottom w:val="none" w:sz="0" w:space="0" w:color="auto"/>
        <w:right w:val="none" w:sz="0" w:space="0" w:color="auto"/>
      </w:divBdr>
    </w:div>
    <w:div w:id="1007172599">
      <w:bodyDiv w:val="1"/>
      <w:marLeft w:val="0"/>
      <w:marRight w:val="0"/>
      <w:marTop w:val="0"/>
      <w:marBottom w:val="0"/>
      <w:divBdr>
        <w:top w:val="none" w:sz="0" w:space="0" w:color="auto"/>
        <w:left w:val="none" w:sz="0" w:space="0" w:color="auto"/>
        <w:bottom w:val="none" w:sz="0" w:space="0" w:color="auto"/>
        <w:right w:val="none" w:sz="0" w:space="0" w:color="auto"/>
      </w:divBdr>
    </w:div>
    <w:div w:id="1211769728">
      <w:bodyDiv w:val="1"/>
      <w:marLeft w:val="0"/>
      <w:marRight w:val="0"/>
      <w:marTop w:val="0"/>
      <w:marBottom w:val="0"/>
      <w:divBdr>
        <w:top w:val="none" w:sz="0" w:space="0" w:color="auto"/>
        <w:left w:val="none" w:sz="0" w:space="0" w:color="auto"/>
        <w:bottom w:val="none" w:sz="0" w:space="0" w:color="auto"/>
        <w:right w:val="none" w:sz="0" w:space="0" w:color="auto"/>
      </w:divBdr>
    </w:div>
    <w:div w:id="1519545842">
      <w:bodyDiv w:val="1"/>
      <w:marLeft w:val="0"/>
      <w:marRight w:val="0"/>
      <w:marTop w:val="0"/>
      <w:marBottom w:val="0"/>
      <w:divBdr>
        <w:top w:val="none" w:sz="0" w:space="0" w:color="auto"/>
        <w:left w:val="none" w:sz="0" w:space="0" w:color="auto"/>
        <w:bottom w:val="none" w:sz="0" w:space="0" w:color="auto"/>
        <w:right w:val="none" w:sz="0" w:space="0" w:color="auto"/>
      </w:divBdr>
    </w:div>
    <w:div w:id="1829901721">
      <w:bodyDiv w:val="1"/>
      <w:marLeft w:val="0"/>
      <w:marRight w:val="0"/>
      <w:marTop w:val="0"/>
      <w:marBottom w:val="0"/>
      <w:divBdr>
        <w:top w:val="none" w:sz="0" w:space="0" w:color="auto"/>
        <w:left w:val="none" w:sz="0" w:space="0" w:color="auto"/>
        <w:bottom w:val="none" w:sz="0" w:space="0" w:color="auto"/>
        <w:right w:val="none" w:sz="0" w:space="0" w:color="auto"/>
      </w:divBdr>
    </w:div>
    <w:div w:id="1999067939">
      <w:bodyDiv w:val="1"/>
      <w:marLeft w:val="0"/>
      <w:marRight w:val="0"/>
      <w:marTop w:val="0"/>
      <w:marBottom w:val="0"/>
      <w:divBdr>
        <w:top w:val="none" w:sz="0" w:space="0" w:color="auto"/>
        <w:left w:val="none" w:sz="0" w:space="0" w:color="auto"/>
        <w:bottom w:val="none" w:sz="0" w:space="0" w:color="auto"/>
        <w:right w:val="none" w:sz="0" w:space="0" w:color="auto"/>
      </w:divBdr>
    </w:div>
    <w:div w:id="20457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44-2023-ND-CP-chinh-sach-giam-thue-gia-tri-gia-tang-theo-Nghi-quyet-101-2023-QH15-569851.aspx?anchor=dieu_1" TargetMode="External"/><Relationship Id="rId13" Type="http://schemas.openxmlformats.org/officeDocument/2006/relationships/hyperlink" Target="https://thuvienphapluat.vn/van-ban/Thue-Phi-Le-Phi/Nghi-dinh-44-2023-ND-CP-chinh-sach-giam-thue-gia-tri-gia-tang-theo-Nghi-quyet-101-2023-QH15-569851.aspx?anchor=dieu_2" TargetMode="External"/><Relationship Id="rId3" Type="http://schemas.openxmlformats.org/officeDocument/2006/relationships/settings" Target="settings.xml"/><Relationship Id="rId7" Type="http://schemas.openxmlformats.org/officeDocument/2006/relationships/hyperlink" Target="https://thuvienphapluat.vn/van-ban/Thue-Phi-Le-Phi/Thong-tu-219-2013-TT-BTC-huong-dan-Luat-thue-gia-tri-gia-tang-va-Nghi-dinh-209-2013-ND-CP-220761.aspx?anchor=dieu_13" TargetMode="External"/><Relationship Id="rId12" Type="http://schemas.openxmlformats.org/officeDocument/2006/relationships/hyperlink" Target="https://thuvienphapluat.vn/van-ban/Thue-Phi-Le-Phi/Nghi-dinh-44-2023-ND-CP-chinh-sach-giam-thue-gia-tri-gia-tang-theo-Nghi-quyet-101-2023-QH15-569851.aspx?anchor=dieu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Thong-tu-219-2013-TT-BTC-huong-dan-Luat-thue-gia-tri-gia-tang-va-Nghi-dinh-209-2013-ND-CP-220761.aspx?anchor=dieu_13" TargetMode="External"/><Relationship Id="rId11" Type="http://schemas.openxmlformats.org/officeDocument/2006/relationships/hyperlink" Target="https://thuvienphapluat.vn/van-ban/Bo-may-hanh-chinh/Nghi-quyet-101-2023-QH15-ky-hop-thu-5-Quoc-hoi-khoa-XV-571915.aspx" TargetMode="External"/><Relationship Id="rId5" Type="http://schemas.openxmlformats.org/officeDocument/2006/relationships/hyperlink" Target="https://thuvienphapluat.vn/van-ban/Thue-Phi-Le-Phi/Nghi-dinh-44-2023-ND-CP-chinh-sach-giam-thue-gia-tri-gia-tang-theo-Nghi-quyet-101-2023-QH15-569851.aspx?anchor=dieu_1" TargetMode="External"/><Relationship Id="rId15" Type="http://schemas.openxmlformats.org/officeDocument/2006/relationships/theme" Target="theme/theme1.xml"/><Relationship Id="rId10" Type="http://schemas.openxmlformats.org/officeDocument/2006/relationships/hyperlink" Target="https://thuvienphapluat.vn/van-ban/Bo-may-hanh-chinh/Nghi-quyet-101-2023-QH15-ky-hop-thu-5-Quoc-hoi-khoa-XV-571915.aspx" TargetMode="External"/><Relationship Id="rId4" Type="http://schemas.openxmlformats.org/officeDocument/2006/relationships/webSettings" Target="webSettings.xml"/><Relationship Id="rId9" Type="http://schemas.openxmlformats.org/officeDocument/2006/relationships/hyperlink" Target="https://thuvienphapluat.vn/van-ban/Thue-Phi-Le-Phi/Nghi-dinh-44-2023-ND-CP-chinh-sach-giam-thue-gia-tri-gia-tang-theo-Nghi-quyet-101-2023-QH15-569851.aspx?anchor=dieu_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2023-09-13T07:11:00Z</dcterms:created>
  <dcterms:modified xsi:type="dcterms:W3CDTF">2023-09-13T07:29:00Z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f59a8253-3478-4ed0-95c3-06e0c8c96bc2</vt:lpwstr>
  </property>
</Properties>
</file>