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A8D7C" w14:textId="77777777" w:rsidR="005A308E" w:rsidRPr="005A308E" w:rsidRDefault="005A308E" w:rsidP="005A308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5A308E">
        <w:rPr>
          <w:rFonts w:ascii="Times New Roman" w:hAnsi="Times New Roman" w:cs="Times New Roman"/>
          <w:b/>
          <w:bCs/>
          <w:sz w:val="32"/>
          <w:szCs w:val="32"/>
        </w:rPr>
        <w:t>Trao</w:t>
      </w:r>
      <w:proofErr w:type="spellEnd"/>
      <w:r w:rsidRPr="005A308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A308E">
        <w:rPr>
          <w:rFonts w:ascii="Times New Roman" w:hAnsi="Times New Roman" w:cs="Times New Roman"/>
          <w:b/>
          <w:bCs/>
          <w:sz w:val="32"/>
          <w:szCs w:val="32"/>
        </w:rPr>
        <w:t>đổi</w:t>
      </w:r>
      <w:proofErr w:type="spellEnd"/>
      <w:r w:rsidRPr="005A308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A308E">
        <w:rPr>
          <w:rFonts w:ascii="Times New Roman" w:hAnsi="Times New Roman" w:cs="Times New Roman"/>
          <w:b/>
          <w:bCs/>
          <w:sz w:val="32"/>
          <w:szCs w:val="32"/>
        </w:rPr>
        <w:t>về</w:t>
      </w:r>
      <w:proofErr w:type="spellEnd"/>
      <w:r w:rsidRPr="005A308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A308E">
        <w:rPr>
          <w:rFonts w:ascii="Times New Roman" w:hAnsi="Times New Roman" w:cs="Times New Roman"/>
          <w:b/>
          <w:bCs/>
          <w:sz w:val="32"/>
          <w:szCs w:val="32"/>
        </w:rPr>
        <w:t>mức</w:t>
      </w:r>
      <w:proofErr w:type="spellEnd"/>
      <w:r w:rsidRPr="005A308E">
        <w:rPr>
          <w:rFonts w:ascii="Times New Roman" w:hAnsi="Times New Roman" w:cs="Times New Roman"/>
          <w:b/>
          <w:bCs/>
          <w:sz w:val="32"/>
          <w:szCs w:val="32"/>
        </w:rPr>
        <w:t xml:space="preserve"> chi </w:t>
      </w:r>
      <w:proofErr w:type="spellStart"/>
      <w:r w:rsidRPr="005A308E">
        <w:rPr>
          <w:rFonts w:ascii="Times New Roman" w:hAnsi="Times New Roman" w:cs="Times New Roman"/>
          <w:b/>
          <w:bCs/>
          <w:sz w:val="32"/>
          <w:szCs w:val="32"/>
        </w:rPr>
        <w:t>mới</w:t>
      </w:r>
      <w:proofErr w:type="spellEnd"/>
      <w:r w:rsidRPr="005A308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A308E">
        <w:rPr>
          <w:rFonts w:ascii="Times New Roman" w:hAnsi="Times New Roman" w:cs="Times New Roman"/>
          <w:b/>
          <w:bCs/>
          <w:sz w:val="32"/>
          <w:szCs w:val="32"/>
        </w:rPr>
        <w:t>đối</w:t>
      </w:r>
      <w:proofErr w:type="spellEnd"/>
      <w:r w:rsidRPr="005A308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A308E">
        <w:rPr>
          <w:rFonts w:ascii="Times New Roman" w:hAnsi="Times New Roman" w:cs="Times New Roman"/>
          <w:b/>
          <w:bCs/>
          <w:sz w:val="32"/>
          <w:szCs w:val="32"/>
        </w:rPr>
        <w:t>với</w:t>
      </w:r>
      <w:proofErr w:type="spellEnd"/>
      <w:r w:rsidRPr="005A308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A308E">
        <w:rPr>
          <w:rFonts w:ascii="Times New Roman" w:hAnsi="Times New Roman" w:cs="Times New Roman"/>
          <w:b/>
          <w:bCs/>
          <w:sz w:val="32"/>
          <w:szCs w:val="32"/>
        </w:rPr>
        <w:t>hoạt</w:t>
      </w:r>
      <w:proofErr w:type="spellEnd"/>
      <w:r w:rsidRPr="005A308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A308E">
        <w:rPr>
          <w:rFonts w:ascii="Times New Roman" w:hAnsi="Times New Roman" w:cs="Times New Roman"/>
          <w:b/>
          <w:bCs/>
          <w:sz w:val="32"/>
          <w:szCs w:val="32"/>
        </w:rPr>
        <w:t>động</w:t>
      </w:r>
      <w:proofErr w:type="spellEnd"/>
      <w:r w:rsidRPr="005A308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A308E">
        <w:rPr>
          <w:rFonts w:ascii="Times New Roman" w:hAnsi="Times New Roman" w:cs="Times New Roman"/>
          <w:b/>
          <w:bCs/>
          <w:sz w:val="32"/>
          <w:szCs w:val="32"/>
        </w:rPr>
        <w:t>xúc</w:t>
      </w:r>
      <w:proofErr w:type="spellEnd"/>
      <w:r w:rsidRPr="005A308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A308E">
        <w:rPr>
          <w:rFonts w:ascii="Times New Roman" w:hAnsi="Times New Roman" w:cs="Times New Roman"/>
          <w:b/>
          <w:bCs/>
          <w:sz w:val="32"/>
          <w:szCs w:val="32"/>
        </w:rPr>
        <w:t>tiến</w:t>
      </w:r>
      <w:proofErr w:type="spellEnd"/>
      <w:r w:rsidRPr="005A308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A308E">
        <w:rPr>
          <w:rFonts w:ascii="Times New Roman" w:hAnsi="Times New Roman" w:cs="Times New Roman"/>
          <w:b/>
          <w:bCs/>
          <w:sz w:val="32"/>
          <w:szCs w:val="32"/>
        </w:rPr>
        <w:t>đầu</w:t>
      </w:r>
      <w:proofErr w:type="spellEnd"/>
      <w:r w:rsidRPr="005A308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5A308E">
        <w:rPr>
          <w:rFonts w:ascii="Times New Roman" w:hAnsi="Times New Roman" w:cs="Times New Roman"/>
          <w:b/>
          <w:bCs/>
          <w:sz w:val="32"/>
          <w:szCs w:val="32"/>
        </w:rPr>
        <w:t>tư</w:t>
      </w:r>
      <w:proofErr w:type="spellEnd"/>
    </w:p>
    <w:p w14:paraId="070286B2" w14:textId="77777777" w:rsidR="005A308E" w:rsidRPr="005A308E" w:rsidRDefault="005A308E" w:rsidP="005A308E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5A308E">
        <w:rPr>
          <w:rFonts w:ascii="Times New Roman" w:hAnsi="Times New Roman" w:cs="Times New Roman"/>
          <w:i/>
          <w:iCs/>
          <w:sz w:val="28"/>
          <w:szCs w:val="28"/>
        </w:rPr>
        <w:t>ThS</w:t>
      </w:r>
      <w:proofErr w:type="spellEnd"/>
      <w:r w:rsidRPr="005A308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5A308E">
        <w:rPr>
          <w:rFonts w:ascii="Times New Roman" w:hAnsi="Times New Roman" w:cs="Times New Roman"/>
          <w:i/>
          <w:iCs/>
          <w:sz w:val="28"/>
          <w:szCs w:val="28"/>
        </w:rPr>
        <w:t>Nguyễn</w:t>
      </w:r>
      <w:proofErr w:type="spellEnd"/>
      <w:r w:rsidRPr="005A308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/>
          <w:iCs/>
          <w:sz w:val="28"/>
          <w:szCs w:val="28"/>
        </w:rPr>
        <w:t>Khánh</w:t>
      </w:r>
      <w:proofErr w:type="spellEnd"/>
      <w:r w:rsidRPr="005A308E">
        <w:rPr>
          <w:rFonts w:ascii="Times New Roman" w:hAnsi="Times New Roman" w:cs="Times New Roman"/>
          <w:i/>
          <w:iCs/>
          <w:sz w:val="28"/>
          <w:szCs w:val="28"/>
        </w:rPr>
        <w:t xml:space="preserve"> Thu </w:t>
      </w:r>
      <w:proofErr w:type="spellStart"/>
      <w:r w:rsidRPr="005A308E">
        <w:rPr>
          <w:rFonts w:ascii="Times New Roman" w:hAnsi="Times New Roman" w:cs="Times New Roman"/>
          <w:i/>
          <w:iCs/>
          <w:sz w:val="28"/>
          <w:szCs w:val="28"/>
        </w:rPr>
        <w:t>Hằng</w:t>
      </w:r>
      <w:proofErr w:type="spellEnd"/>
    </w:p>
    <w:p w14:paraId="06F61A6F" w14:textId="77777777" w:rsidR="005A308E" w:rsidRDefault="005A308E" w:rsidP="005A308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Ngày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30/12/2022,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Bộ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Tài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chính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ban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hành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Thông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tư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số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80/2022/TT-BTC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hướng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dẫn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về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định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mức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sử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dụng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kinh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phí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từ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nguồn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ngân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sách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nhà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nước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(NSNN)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quy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chế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quản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lý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tài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chính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đối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với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hoạt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động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xúc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tiến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đầu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tư</w:t>
      </w:r>
      <w:proofErr w:type="spellEnd"/>
      <w:r w:rsidRPr="005A308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A308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dung,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NSNN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88, 89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31/2021/NĐ-CP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26/3/2021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A60CE89" w14:textId="77777777" w:rsidR="005A308E" w:rsidRPr="005A308E" w:rsidRDefault="005A308E" w:rsidP="005A308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Thông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tư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số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80/2022/TT-BTC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UBND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NSNN.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5A308E">
        <w:rPr>
          <w:rFonts w:ascii="Times New Roman" w:hAnsi="Times New Roman" w:cs="Times New Roman"/>
          <w:sz w:val="28"/>
          <w:szCs w:val="28"/>
        </w:rPr>
        <w:t>rường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lồng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ghép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>.</w:t>
      </w:r>
    </w:p>
    <w:p w14:paraId="5EE02D85" w14:textId="77777777" w:rsidR="005A308E" w:rsidRPr="005A308E" w:rsidRDefault="005A308E" w:rsidP="005A308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80/2022/TT-BTC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dung chi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mứ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>:</w:t>
      </w:r>
    </w:p>
    <w:p w14:paraId="593F32C3" w14:textId="77777777" w:rsidR="005A308E" w:rsidRPr="005A308E" w:rsidRDefault="005A308E" w:rsidP="005A308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 C</w:t>
      </w:r>
      <w:r w:rsidRPr="005A308E">
        <w:rPr>
          <w:rFonts w:ascii="Times New Roman" w:hAnsi="Times New Roman" w:cs="Times New Roman"/>
          <w:sz w:val="28"/>
          <w:szCs w:val="28"/>
        </w:rPr>
        <w:t xml:space="preserve">hi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tiềm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xu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55/2015/TTLT-BTC-BKHCN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22/4/2015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NSNN.</w:t>
      </w:r>
    </w:p>
    <w:p w14:paraId="688B4ECF" w14:textId="77777777" w:rsidR="005A308E" w:rsidRPr="005A308E" w:rsidRDefault="005A308E" w:rsidP="005A308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(2)</w:t>
      </w:r>
      <w:r w:rsidRPr="005A308E">
        <w:rPr>
          <w:rFonts w:ascii="Times New Roman" w:hAnsi="Times New Roman" w:cs="Times New Roman"/>
          <w:iCs/>
          <w:sz w:val="28"/>
          <w:szCs w:val="28"/>
        </w:rPr>
        <w:t xml:space="preserve"> C</w:t>
      </w:r>
      <w:r w:rsidRPr="005A308E">
        <w:rPr>
          <w:rFonts w:ascii="Times New Roman" w:hAnsi="Times New Roman" w:cs="Times New Roman"/>
          <w:sz w:val="28"/>
          <w:szCs w:val="28"/>
        </w:rPr>
        <w:t xml:space="preserve">hi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cổng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lastRenderedPageBreak/>
        <w:t>nguồn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NSNN: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NSNN,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>.</w:t>
      </w:r>
    </w:p>
    <w:p w14:paraId="435B5196" w14:textId="77777777" w:rsidR="005A308E" w:rsidRPr="005A308E" w:rsidRDefault="005A308E" w:rsidP="005A308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(3) Chi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huấn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dung chi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áp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36/2018/TT-BTC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30/3/2018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dành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>.</w:t>
      </w:r>
    </w:p>
    <w:p w14:paraId="2155C109" w14:textId="77777777" w:rsidR="005A308E" w:rsidRPr="005A308E" w:rsidRDefault="005A308E" w:rsidP="005A308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(4) C</w:t>
      </w:r>
      <w:r w:rsidRPr="005A308E">
        <w:rPr>
          <w:rFonts w:ascii="Times New Roman" w:hAnsi="Times New Roman" w:cs="Times New Roman"/>
          <w:sz w:val="28"/>
          <w:szCs w:val="28"/>
        </w:rPr>
        <w:t xml:space="preserve">hi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40/2017/TT-BTC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28/4/2017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102/2012/TT-BTC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21/6/2012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do NSNN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>.</w:t>
      </w:r>
    </w:p>
    <w:p w14:paraId="71DB2C11" w14:textId="77777777" w:rsidR="005A308E" w:rsidRPr="005A308E" w:rsidRDefault="005A308E" w:rsidP="005A308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(5) C</w:t>
      </w:r>
      <w:r w:rsidRPr="005A308E">
        <w:rPr>
          <w:rFonts w:ascii="Times New Roman" w:hAnsi="Times New Roman" w:cs="Times New Roman"/>
          <w:sz w:val="28"/>
          <w:szCs w:val="28"/>
        </w:rPr>
        <w:t xml:space="preserve">hi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biên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71/2018/TT-BTC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10/8/2018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Nam,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>.</w:t>
      </w:r>
    </w:p>
    <w:p w14:paraId="0036720E" w14:textId="77777777" w:rsidR="008F3AF6" w:rsidRDefault="005A308E" w:rsidP="005A308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80/2022/TT-BTC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dung chi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quảng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bá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thiệu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tiềm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tiện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>; 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80/2022/TT-BTC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5A308E">
        <w:rPr>
          <w:rFonts w:ascii="Times New Roman" w:hAnsi="Times New Roman" w:cs="Times New Roman"/>
          <w:sz w:val="28"/>
          <w:szCs w:val="28"/>
        </w:rPr>
        <w:t xml:space="preserve"> 16/2/2023.</w:t>
      </w:r>
    </w:p>
    <w:p w14:paraId="43C22986" w14:textId="77777777" w:rsidR="005A308E" w:rsidRDefault="005A308E" w:rsidP="005A308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khảo</w:t>
      </w:r>
      <w:proofErr w:type="spellEnd"/>
    </w:p>
    <w:p w14:paraId="0ABFDA7E" w14:textId="77777777" w:rsidR="005A308E" w:rsidRDefault="005A308E" w:rsidP="005A308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A308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Thông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tư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5A308E">
        <w:rPr>
          <w:rFonts w:ascii="Times New Roman" w:hAnsi="Times New Roman" w:cs="Times New Roman"/>
          <w:iCs/>
          <w:sz w:val="28"/>
          <w:szCs w:val="28"/>
        </w:rPr>
        <w:t>số</w:t>
      </w:r>
      <w:proofErr w:type="spellEnd"/>
      <w:r w:rsidRPr="005A308E">
        <w:rPr>
          <w:rFonts w:ascii="Times New Roman" w:hAnsi="Times New Roman" w:cs="Times New Roman"/>
          <w:iCs/>
          <w:sz w:val="28"/>
          <w:szCs w:val="28"/>
        </w:rPr>
        <w:t xml:space="preserve"> 80/2022/TT-BTC</w:t>
      </w:r>
    </w:p>
    <w:p w14:paraId="7D2DC958" w14:textId="77777777" w:rsidR="005A308E" w:rsidRPr="005A308E" w:rsidRDefault="005A308E" w:rsidP="005A308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08E">
        <w:rPr>
          <w:rFonts w:ascii="Times New Roman" w:hAnsi="Times New Roman" w:cs="Times New Roman"/>
          <w:sz w:val="28"/>
          <w:szCs w:val="28"/>
        </w:rPr>
        <w:t xml:space="preserve">2. </w:t>
      </w:r>
      <w:r w:rsidRPr="005A308E">
        <w:rPr>
          <w:rFonts w:ascii="Times New Roman" w:hAnsi="Times New Roman" w:cs="Times New Roman"/>
          <w:sz w:val="28"/>
          <w:szCs w:val="28"/>
        </w:rPr>
        <w:fldChar w:fldCharType="begin"/>
      </w:r>
      <w:r w:rsidRPr="005A308E">
        <w:rPr>
          <w:rFonts w:ascii="Times New Roman" w:hAnsi="Times New Roman" w:cs="Times New Roman"/>
          <w:sz w:val="28"/>
          <w:szCs w:val="28"/>
        </w:rPr>
        <w:instrText xml:space="preserve"> HYPERLINK "https://mof.gov.vn" </w:instrText>
      </w:r>
      <w:r w:rsidRPr="005A308E">
        <w:rPr>
          <w:rFonts w:ascii="Times New Roman" w:hAnsi="Times New Roman" w:cs="Times New Roman"/>
          <w:sz w:val="28"/>
          <w:szCs w:val="28"/>
        </w:rPr>
      </w:r>
      <w:r w:rsidRPr="005A308E">
        <w:rPr>
          <w:rFonts w:ascii="Times New Roman" w:hAnsi="Times New Roman" w:cs="Times New Roman"/>
          <w:sz w:val="28"/>
          <w:szCs w:val="28"/>
        </w:rPr>
        <w:fldChar w:fldCharType="separate"/>
      </w:r>
      <w:r w:rsidRPr="005A308E">
        <w:rPr>
          <w:rFonts w:ascii="Times New Roman" w:hAnsi="Times New Roman" w:cs="Times New Roman"/>
          <w:sz w:val="28"/>
          <w:szCs w:val="28"/>
        </w:rPr>
        <w:t>https://mof.gov.vn</w:t>
      </w:r>
      <w:r w:rsidRPr="005A308E">
        <w:rPr>
          <w:rFonts w:ascii="Times New Roman" w:hAnsi="Times New Roman" w:cs="Times New Roman"/>
          <w:sz w:val="28"/>
          <w:szCs w:val="28"/>
        </w:rPr>
        <w:fldChar w:fldCharType="end"/>
      </w:r>
    </w:p>
    <w:p w14:paraId="6092304D" w14:textId="77777777" w:rsidR="005A308E" w:rsidRPr="005A308E" w:rsidRDefault="005A308E" w:rsidP="005A308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A308E">
        <w:rPr>
          <w:rFonts w:ascii="Times New Roman" w:hAnsi="Times New Roman" w:cs="Times New Roman"/>
          <w:sz w:val="28"/>
          <w:szCs w:val="28"/>
        </w:rPr>
        <w:t xml:space="preserve">3. </w:t>
      </w:r>
      <w:r w:rsidRPr="005A308E">
        <w:rPr>
          <w:rFonts w:ascii="Times New Roman" w:hAnsi="Times New Roman" w:cs="Times New Roman"/>
          <w:sz w:val="28"/>
          <w:szCs w:val="28"/>
        </w:rPr>
        <w:t xml:space="preserve"> https://baochinhphu.vn</w:t>
      </w:r>
    </w:p>
    <w:p w14:paraId="6353D336" w14:textId="77777777" w:rsidR="005A308E" w:rsidRPr="005A308E" w:rsidRDefault="005A308E" w:rsidP="005A308E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A308E" w:rsidRPr="005A308E" w:rsidSect="00A90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8E"/>
    <w:rsid w:val="005A308E"/>
    <w:rsid w:val="0096494A"/>
    <w:rsid w:val="00A9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46B4D2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0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308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30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604</Words>
  <Characters>3445</Characters>
  <Application>Microsoft Macintosh Word</Application>
  <DocSecurity>0</DocSecurity>
  <Lines>28</Lines>
  <Paragraphs>8</Paragraphs>
  <ScaleCrop>false</ScaleCrop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2023-01-13T15:02:00Z</dcterms:created>
  <dcterms:modified xsi:type="dcterms:W3CDTF">2023-01-13T15:13:00Z</dcterms:modified>
</cp:coreProperties>
</file>