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45F32" w14:textId="28C2244F" w:rsidR="009A7AE9" w:rsidRPr="009A7AE9" w:rsidRDefault="009A7AE9" w:rsidP="009A7AE9">
      <w:pPr>
        <w:spacing w:before="300" w:after="300" w:line="570" w:lineRule="atLeast"/>
        <w:outlineLvl w:val="0"/>
        <w:rPr>
          <w:rFonts w:ascii="Times New Roman" w:eastAsia="Times New Roman" w:hAnsi="Times New Roman" w:cs="Times New Roman"/>
          <w:b/>
          <w:bCs/>
          <w:color w:val="000000" w:themeColor="text1"/>
          <w:kern w:val="36"/>
          <w:sz w:val="32"/>
          <w:szCs w:val="32"/>
          <w:lang w:val="vi-VN"/>
        </w:rPr>
      </w:pPr>
      <w:r w:rsidRPr="009A7AE9">
        <w:rPr>
          <w:rFonts w:ascii="Times New Roman" w:eastAsia="Times New Roman" w:hAnsi="Times New Roman" w:cs="Times New Roman"/>
          <w:b/>
          <w:bCs/>
          <w:color w:val="000000" w:themeColor="text1"/>
          <w:kern w:val="36"/>
          <w:sz w:val="32"/>
          <w:szCs w:val="32"/>
          <w:lang w:val="vi-VN"/>
        </w:rPr>
        <w:t>THUẾ THU NHẬP CÁ NHÂN NĂM 2022 VÀ NHỮNG LƯU Ý</w:t>
      </w:r>
    </w:p>
    <w:p w14:paraId="052903AB" w14:textId="77777777" w:rsidR="009A7AE9" w:rsidRPr="009A7AE9" w:rsidRDefault="009A7AE9" w:rsidP="009A7AE9">
      <w:pPr>
        <w:spacing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b/>
          <w:bCs/>
          <w:color w:val="000000" w:themeColor="text1"/>
          <w:sz w:val="26"/>
          <w:szCs w:val="26"/>
          <w:bdr w:val="single" w:sz="2" w:space="0" w:color="E5E7EB" w:frame="1"/>
        </w:rPr>
        <w:t>Cách tính thuế thu nhập cá nhân</w:t>
      </w:r>
    </w:p>
    <w:p w14:paraId="39A40311" w14:textId="77777777" w:rsidR="009A7AE9" w:rsidRPr="009A7AE9" w:rsidRDefault="009A7AE9" w:rsidP="009A7AE9">
      <w:pPr>
        <w:spacing w:before="240"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color w:val="000000" w:themeColor="text1"/>
          <w:sz w:val="26"/>
          <w:szCs w:val="26"/>
        </w:rPr>
        <w:t>Theo quy định hiện hành, thuế thu nhập cá nhân từ tiền lương, tiền công được chia thành 2 đối tượng khác nhau, gồm: cá nhân cư trú và cá nhân không cư trú. Trong đó, cá nhân cư trú được chia thành 2 trường hợp: cá nhân ký hợp đồng lao động từ 3 tháng trở lên và cá nhân không ký hợp đồng lao động hoặc ký hợp đồng lao động dưới 3 tháng. Song với mỗi đối tượng, mỗi trường hợp đều có cách tính thuế TTNCN khác nhau, đặc biệt chỉ có cá nhân cư trú mới được tính giảm trừ gia cảnh.</w:t>
      </w:r>
    </w:p>
    <w:p w14:paraId="0DD6377D" w14:textId="77777777" w:rsidR="009A7AE9" w:rsidRPr="009A7AE9" w:rsidRDefault="009A7AE9" w:rsidP="009A7AE9">
      <w:pPr>
        <w:spacing w:line="420" w:lineRule="atLeast"/>
        <w:rPr>
          <w:rFonts w:ascii="Times New Roman" w:eastAsia="Times New Roman" w:hAnsi="Times New Roman" w:cs="Times New Roman"/>
          <w:color w:val="000000" w:themeColor="text1"/>
          <w:sz w:val="26"/>
          <w:szCs w:val="26"/>
          <w:lang w:val="vi-VN"/>
        </w:rPr>
      </w:pPr>
      <w:r w:rsidRPr="009A7AE9">
        <w:rPr>
          <w:rFonts w:ascii="Times New Roman" w:eastAsia="Times New Roman" w:hAnsi="Times New Roman" w:cs="Times New Roman"/>
          <w:color w:val="000000" w:themeColor="text1"/>
          <w:sz w:val="26"/>
          <w:szCs w:val="26"/>
        </w:rPr>
        <w:t>Với</w:t>
      </w:r>
      <w:r w:rsidRPr="009A7AE9">
        <w:rPr>
          <w:rFonts w:ascii="Times New Roman" w:eastAsia="Times New Roman" w:hAnsi="Times New Roman" w:cs="Times New Roman"/>
          <w:b/>
          <w:bCs/>
          <w:color w:val="000000" w:themeColor="text1"/>
          <w:sz w:val="26"/>
          <w:szCs w:val="26"/>
          <w:bdr w:val="single" w:sz="2" w:space="0" w:color="E5E7EB" w:frame="1"/>
        </w:rPr>
        <w:t> cá nhân cư trú có nơi ở thường xuyên tại Việt Nam ký hợp đồng lao động từ 3 tháng trở lên</w:t>
      </w:r>
      <w:r w:rsidRPr="009A7AE9">
        <w:rPr>
          <w:rFonts w:ascii="Times New Roman" w:eastAsia="Times New Roman" w:hAnsi="Times New Roman" w:cs="Times New Roman"/>
          <w:color w:val="000000" w:themeColor="text1"/>
          <w:sz w:val="26"/>
          <w:szCs w:val="26"/>
          <w:lang w:val="vi-VN"/>
        </w:rPr>
        <w:t>:</w:t>
      </w:r>
    </w:p>
    <w:p w14:paraId="64166988" w14:textId="2DB6EFC2" w:rsidR="009A7AE9" w:rsidRPr="009A7AE9" w:rsidRDefault="009A7AE9" w:rsidP="009A7AE9">
      <w:pPr>
        <w:spacing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b/>
          <w:bCs/>
          <w:i/>
          <w:iCs/>
          <w:color w:val="000000" w:themeColor="text1"/>
          <w:sz w:val="26"/>
          <w:szCs w:val="26"/>
          <w:bdr w:val="single" w:sz="2" w:space="0" w:color="E5E7EB" w:frame="1"/>
          <w:lang w:val="vi-VN"/>
        </w:rPr>
        <w:t>T</w:t>
      </w:r>
      <w:r w:rsidRPr="009A7AE9">
        <w:rPr>
          <w:rFonts w:ascii="Times New Roman" w:eastAsia="Times New Roman" w:hAnsi="Times New Roman" w:cs="Times New Roman"/>
          <w:b/>
          <w:bCs/>
          <w:i/>
          <w:iCs/>
          <w:color w:val="000000" w:themeColor="text1"/>
          <w:sz w:val="26"/>
          <w:szCs w:val="26"/>
          <w:bdr w:val="single" w:sz="2" w:space="0" w:color="E5E7EB" w:frame="1"/>
        </w:rPr>
        <w:t>huế thu nhập cá nhân phải nộp = Thu nhập tính thuế x Thuế suất</w:t>
      </w:r>
      <w:r w:rsidRPr="009A7AE9">
        <w:rPr>
          <w:rFonts w:ascii="Times New Roman" w:eastAsia="Times New Roman" w:hAnsi="Times New Roman" w:cs="Times New Roman"/>
          <w:color w:val="000000" w:themeColor="text1"/>
          <w:sz w:val="26"/>
          <w:szCs w:val="26"/>
        </w:rPr>
        <w:t>.</w:t>
      </w:r>
    </w:p>
    <w:p w14:paraId="4ADB75C0" w14:textId="77777777" w:rsidR="009A7AE9" w:rsidRPr="009A7AE9" w:rsidRDefault="009A7AE9" w:rsidP="009A7AE9">
      <w:pPr>
        <w:spacing w:before="240"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color w:val="000000" w:themeColor="text1"/>
          <w:sz w:val="26"/>
          <w:szCs w:val="26"/>
        </w:rPr>
        <w:t>Trong đó, thu nhập tính thuế = Thu nhập chịu thuế - Các khoản giảm trừ.</w:t>
      </w:r>
    </w:p>
    <w:p w14:paraId="60411D71" w14:textId="77777777" w:rsidR="009A7AE9" w:rsidRPr="009A7AE9" w:rsidRDefault="009A7AE9" w:rsidP="009A7AE9">
      <w:pPr>
        <w:spacing w:before="240"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color w:val="000000" w:themeColor="text1"/>
          <w:sz w:val="26"/>
          <w:szCs w:val="26"/>
        </w:rPr>
        <w:t>Các khoản thu nhập miễn thuế từ tiền lương, tiền công gồm: phần tiền lương làm việc ban đêm, làm thêm giờ được trả cao hơn so với tiền lương làm việc ban ngày, làm trong giờ theo quy định pháp luật; thu nhập từ tiền lương, tiền công của thuyền viên là người Việt Nam làm việc cho hãng tàu nước ngoài hoặc hãng tàu Việt Nam vận tải quốc tế.</w:t>
      </w:r>
    </w:p>
    <w:p w14:paraId="3D1357F6" w14:textId="77777777" w:rsidR="009A7AE9" w:rsidRPr="009A7AE9" w:rsidRDefault="009A7AE9" w:rsidP="009A7AE9">
      <w:pPr>
        <w:spacing w:before="240"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color w:val="000000" w:themeColor="text1"/>
          <w:sz w:val="26"/>
          <w:szCs w:val="26"/>
        </w:rPr>
        <w:t>Các khoản giảm trừ gồm: giảm trừ gia cảnh đối với bản thân người nộp thuế là 11 triệu đồng/tháng (132 triệu đồng/năm); giảm trừ gia cảnh đối với mỗi người phụ thuộc là 4,4 triệu đồng/tháng. Người nộp thuế còn được tính giảm trừ các khoản đóng bảo hiểm, quỹ hưu trí tự nguyện, đóng góp từ thiện, khuyến học, nhân đạo.</w:t>
      </w:r>
    </w:p>
    <w:tbl>
      <w:tblPr>
        <w:tblW w:w="11400" w:type="dxa"/>
        <w:tblCellMar>
          <w:left w:w="0" w:type="dxa"/>
          <w:right w:w="0" w:type="dxa"/>
        </w:tblCellMar>
        <w:tblLook w:val="04A0" w:firstRow="1" w:lastRow="0" w:firstColumn="1" w:lastColumn="0" w:noHBand="0" w:noVBand="1"/>
      </w:tblPr>
      <w:tblGrid>
        <w:gridCol w:w="11400"/>
      </w:tblGrid>
      <w:tr w:rsidR="009A7AE9" w:rsidRPr="009A7AE9" w14:paraId="7ED8AE08" w14:textId="77777777" w:rsidTr="009A7AE9">
        <w:tc>
          <w:tcPr>
            <w:tcW w:w="0" w:type="auto"/>
            <w:tcBorders>
              <w:top w:val="nil"/>
              <w:left w:val="nil"/>
              <w:bottom w:val="nil"/>
              <w:right w:val="nil"/>
            </w:tcBorders>
            <w:vAlign w:val="center"/>
            <w:hideMark/>
          </w:tcPr>
          <w:p w14:paraId="2A223F07" w14:textId="3AF7ACA3" w:rsidR="009A7AE9" w:rsidRPr="009A7AE9" w:rsidRDefault="009A7AE9" w:rsidP="009A7AE9">
            <w:pPr>
              <w:jc w:val="center"/>
              <w:rPr>
                <w:rFonts w:ascii="Times New Roman" w:eastAsia="Times New Roman" w:hAnsi="Times New Roman" w:cs="Times New Roman"/>
                <w:i/>
                <w:iCs/>
                <w:color w:val="000000" w:themeColor="text1"/>
                <w:sz w:val="26"/>
                <w:szCs w:val="26"/>
              </w:rPr>
            </w:pPr>
          </w:p>
        </w:tc>
      </w:tr>
      <w:tr w:rsidR="009A7AE9" w:rsidRPr="009A7AE9" w14:paraId="6A710ACD" w14:textId="77777777" w:rsidTr="009A7AE9">
        <w:tc>
          <w:tcPr>
            <w:tcW w:w="0" w:type="auto"/>
            <w:tcBorders>
              <w:top w:val="nil"/>
              <w:left w:val="nil"/>
              <w:bottom w:val="nil"/>
              <w:right w:val="nil"/>
            </w:tcBorders>
            <w:vAlign w:val="center"/>
            <w:hideMark/>
          </w:tcPr>
          <w:p w14:paraId="5999557A" w14:textId="77777777" w:rsidR="009A7AE9" w:rsidRPr="009A7AE9" w:rsidRDefault="009A7AE9" w:rsidP="009A7AE9">
            <w:pPr>
              <w:jc w:val="center"/>
              <w:rPr>
                <w:rFonts w:ascii="Times New Roman" w:eastAsia="Times New Roman" w:hAnsi="Times New Roman" w:cs="Times New Roman"/>
                <w:i/>
                <w:iCs/>
                <w:color w:val="000000" w:themeColor="text1"/>
                <w:sz w:val="26"/>
                <w:szCs w:val="26"/>
              </w:rPr>
            </w:pPr>
            <w:r w:rsidRPr="009A7AE9">
              <w:rPr>
                <w:rFonts w:ascii="Times New Roman" w:eastAsia="Times New Roman" w:hAnsi="Times New Roman" w:cs="Times New Roman"/>
                <w:i/>
                <w:iCs/>
                <w:color w:val="000000" w:themeColor="text1"/>
                <w:sz w:val="26"/>
                <w:szCs w:val="26"/>
              </w:rPr>
              <w:t> </w:t>
            </w:r>
          </w:p>
        </w:tc>
      </w:tr>
    </w:tbl>
    <w:p w14:paraId="0DB84061" w14:textId="77777777" w:rsidR="009A7AE9" w:rsidRPr="009A7AE9" w:rsidRDefault="009A7AE9" w:rsidP="009A7AE9">
      <w:pPr>
        <w:spacing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color w:val="000000" w:themeColor="text1"/>
          <w:sz w:val="26"/>
          <w:szCs w:val="26"/>
        </w:rPr>
        <w:t>Với </w:t>
      </w:r>
      <w:r w:rsidRPr="009A7AE9">
        <w:rPr>
          <w:rFonts w:ascii="Times New Roman" w:eastAsia="Times New Roman" w:hAnsi="Times New Roman" w:cs="Times New Roman"/>
          <w:b/>
          <w:bCs/>
          <w:color w:val="000000" w:themeColor="text1"/>
          <w:sz w:val="26"/>
          <w:szCs w:val="26"/>
          <w:bdr w:val="single" w:sz="2" w:space="0" w:color="E5E7EB" w:frame="1"/>
        </w:rPr>
        <w:t>cá nhân không ký hợp đồng lao động hoặc ký hợp đồng lao động dưới 3 tháng</w:t>
      </w:r>
      <w:r w:rsidRPr="009A7AE9">
        <w:rPr>
          <w:rFonts w:ascii="Times New Roman" w:eastAsia="Times New Roman" w:hAnsi="Times New Roman" w:cs="Times New Roman"/>
          <w:color w:val="000000" w:themeColor="text1"/>
          <w:sz w:val="26"/>
          <w:szCs w:val="26"/>
        </w:rPr>
        <w:t>, theo Điều 25 Thông tư 111/2013/TT-BTC, cá nhân cư trú ký hợp đồng lao động dưới 3 tháng hoặc không ký hợp đồng lao động mà có tổng mức trả thu nhập từ 2 triệu đồng/lần trở lên thì phải khấu trừ thuế theo mức 10% trên thu nhập (khấu trừ luôn trước khi trả tiền).</w:t>
      </w:r>
    </w:p>
    <w:p w14:paraId="48EA6C43" w14:textId="77777777" w:rsidR="009A7AE9" w:rsidRPr="009A7AE9" w:rsidRDefault="009A7AE9" w:rsidP="009A7AE9">
      <w:pPr>
        <w:spacing w:line="420" w:lineRule="atLeast"/>
        <w:rPr>
          <w:rFonts w:ascii="Times New Roman" w:eastAsia="Times New Roman" w:hAnsi="Times New Roman" w:cs="Times New Roman"/>
          <w:b/>
          <w:bCs/>
          <w:i/>
          <w:iCs/>
          <w:color w:val="000000" w:themeColor="text1"/>
          <w:sz w:val="26"/>
          <w:szCs w:val="26"/>
          <w:bdr w:val="single" w:sz="2" w:space="0" w:color="E5E7EB" w:frame="1"/>
        </w:rPr>
      </w:pPr>
      <w:r w:rsidRPr="009A7AE9">
        <w:rPr>
          <w:rFonts w:ascii="Times New Roman" w:eastAsia="Times New Roman" w:hAnsi="Times New Roman" w:cs="Times New Roman"/>
          <w:color w:val="000000" w:themeColor="text1"/>
          <w:sz w:val="26"/>
          <w:szCs w:val="26"/>
        </w:rPr>
        <w:t>Số thuế phải nộp được tính theo công thức:</w:t>
      </w:r>
      <w:r w:rsidRPr="009A7AE9">
        <w:rPr>
          <w:rFonts w:ascii="Times New Roman" w:eastAsia="Times New Roman" w:hAnsi="Times New Roman" w:cs="Times New Roman"/>
          <w:b/>
          <w:bCs/>
          <w:i/>
          <w:iCs/>
          <w:color w:val="000000" w:themeColor="text1"/>
          <w:sz w:val="26"/>
          <w:szCs w:val="26"/>
          <w:bdr w:val="single" w:sz="2" w:space="0" w:color="E5E7EB" w:frame="1"/>
        </w:rPr>
        <w:t> </w:t>
      </w:r>
    </w:p>
    <w:p w14:paraId="708A7DE9" w14:textId="78F77903" w:rsidR="009A7AE9" w:rsidRPr="009A7AE9" w:rsidRDefault="009A7AE9" w:rsidP="009A7AE9">
      <w:pPr>
        <w:spacing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b/>
          <w:bCs/>
          <w:i/>
          <w:iCs/>
          <w:color w:val="000000" w:themeColor="text1"/>
          <w:sz w:val="26"/>
          <w:szCs w:val="26"/>
          <w:bdr w:val="single" w:sz="2" w:space="0" w:color="E5E7EB" w:frame="1"/>
        </w:rPr>
        <w:lastRenderedPageBreak/>
        <w:t>Thuế thu nhập cá nhân phải nộp = 10% x Tổng thu nhập trước khi trả</w:t>
      </w:r>
    </w:p>
    <w:p w14:paraId="73895067" w14:textId="77777777" w:rsidR="009A7AE9" w:rsidRPr="009A7AE9" w:rsidRDefault="009A7AE9" w:rsidP="009A7AE9">
      <w:pPr>
        <w:spacing w:line="420" w:lineRule="atLeast"/>
        <w:rPr>
          <w:rFonts w:ascii="Times New Roman" w:eastAsia="Times New Roman" w:hAnsi="Times New Roman" w:cs="Times New Roman"/>
          <w:color w:val="000000" w:themeColor="text1"/>
          <w:sz w:val="26"/>
          <w:szCs w:val="26"/>
          <w:lang w:val="vi-VN"/>
        </w:rPr>
      </w:pPr>
      <w:r w:rsidRPr="009A7AE9">
        <w:rPr>
          <w:rFonts w:ascii="Times New Roman" w:eastAsia="Times New Roman" w:hAnsi="Times New Roman" w:cs="Times New Roman"/>
          <w:color w:val="000000" w:themeColor="text1"/>
          <w:sz w:val="26"/>
          <w:szCs w:val="26"/>
        </w:rPr>
        <w:t>Còn với cá nhân không cư trú (người nước ngoài không đáp ứng đủ điều kiện của cá nhân cư trú) không được tính giảm trừ gia cảnh nên chỉ cần có thu nhập chịu thuế sẽ phải nộp thuế thu nhập (thu nhập chịu thuế &gt; 0 mới phải nộp thuế).</w:t>
      </w:r>
      <w:r w:rsidRPr="009A7AE9">
        <w:rPr>
          <w:rFonts w:ascii="Times New Roman" w:eastAsia="Times New Roman" w:hAnsi="Times New Roman" w:cs="Times New Roman"/>
          <w:color w:val="000000" w:themeColor="text1"/>
          <w:sz w:val="26"/>
          <w:szCs w:val="26"/>
        </w:rPr>
        <w:br/>
      </w:r>
      <w:r w:rsidRPr="009A7AE9">
        <w:rPr>
          <w:rFonts w:ascii="Times New Roman" w:eastAsia="Times New Roman" w:hAnsi="Times New Roman" w:cs="Times New Roman"/>
          <w:color w:val="000000" w:themeColor="text1"/>
          <w:sz w:val="26"/>
          <w:szCs w:val="26"/>
        </w:rPr>
        <w:br/>
        <w:t>Về </w:t>
      </w:r>
      <w:r w:rsidRPr="009A7AE9">
        <w:rPr>
          <w:rFonts w:ascii="Times New Roman" w:eastAsia="Times New Roman" w:hAnsi="Times New Roman" w:cs="Times New Roman"/>
          <w:b/>
          <w:bCs/>
          <w:color w:val="000000" w:themeColor="text1"/>
          <w:sz w:val="26"/>
          <w:szCs w:val="26"/>
          <w:bdr w:val="single" w:sz="2" w:space="0" w:color="E5E7EB" w:frame="1"/>
        </w:rPr>
        <w:t>cách tính thuế thu nhập đối với cá nhân không cư trú,</w:t>
      </w:r>
      <w:r w:rsidRPr="009A7AE9">
        <w:rPr>
          <w:rFonts w:ascii="Times New Roman" w:eastAsia="Times New Roman" w:hAnsi="Times New Roman" w:cs="Times New Roman"/>
          <w:color w:val="000000" w:themeColor="text1"/>
          <w:sz w:val="26"/>
          <w:szCs w:val="26"/>
        </w:rPr>
        <w:t> theo Khoản 1 Điều 18 Thông tư 111/2013/TT-BTC</w:t>
      </w:r>
      <w:r w:rsidRPr="009A7AE9">
        <w:rPr>
          <w:rFonts w:ascii="Times New Roman" w:eastAsia="Times New Roman" w:hAnsi="Times New Roman" w:cs="Times New Roman"/>
          <w:color w:val="000000" w:themeColor="text1"/>
          <w:sz w:val="26"/>
          <w:szCs w:val="26"/>
          <w:lang w:val="vi-VN"/>
        </w:rPr>
        <w:t>:</w:t>
      </w:r>
    </w:p>
    <w:p w14:paraId="0C0D4816" w14:textId="2606F247" w:rsidR="009A7AE9" w:rsidRPr="009A7AE9" w:rsidRDefault="009A7AE9" w:rsidP="009A7AE9">
      <w:pPr>
        <w:spacing w:line="420" w:lineRule="atLeast"/>
        <w:rPr>
          <w:rFonts w:ascii="Times New Roman" w:eastAsia="Times New Roman" w:hAnsi="Times New Roman" w:cs="Times New Roman"/>
          <w:b/>
          <w:bCs/>
          <w:i/>
          <w:iCs/>
          <w:color w:val="000000" w:themeColor="text1"/>
          <w:sz w:val="26"/>
          <w:szCs w:val="26"/>
          <w:bdr w:val="single" w:sz="2" w:space="0" w:color="E5E7EB" w:frame="1"/>
        </w:rPr>
      </w:pPr>
      <w:r w:rsidRPr="009A7AE9">
        <w:rPr>
          <w:rFonts w:ascii="Times New Roman" w:eastAsia="Times New Roman" w:hAnsi="Times New Roman" w:cs="Times New Roman"/>
          <w:color w:val="000000" w:themeColor="text1"/>
          <w:sz w:val="26"/>
          <w:szCs w:val="26"/>
        </w:rPr>
        <w:t xml:space="preserve"> </w:t>
      </w:r>
      <w:r w:rsidRPr="009A7AE9">
        <w:rPr>
          <w:rFonts w:ascii="Times New Roman" w:eastAsia="Times New Roman" w:hAnsi="Times New Roman" w:cs="Times New Roman"/>
          <w:b/>
          <w:bCs/>
          <w:i/>
          <w:iCs/>
          <w:color w:val="000000" w:themeColor="text1"/>
          <w:sz w:val="26"/>
          <w:szCs w:val="26"/>
          <w:bdr w:val="single" w:sz="2" w:space="0" w:color="E5E7EB" w:frame="1"/>
        </w:rPr>
        <w:t>Thuế thu nhập cá nhân phải nộp = 20% x Thu nhập chịu thuế.</w:t>
      </w:r>
    </w:p>
    <w:p w14:paraId="749331F4" w14:textId="77777777" w:rsidR="009A7AE9" w:rsidRPr="009A7AE9" w:rsidRDefault="009A7AE9" w:rsidP="009A7AE9">
      <w:pPr>
        <w:spacing w:before="240"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color w:val="000000" w:themeColor="text1"/>
          <w:sz w:val="26"/>
          <w:szCs w:val="26"/>
        </w:rPr>
        <w:t>Thu nhập chịu thuế trong trường hợp này được xác định bằng tổng tiền lương, tiền thù lao, tiền công, các khoản thu nhập khác có tính chất tiền công, tiền lương mà người nộp thuế nhận được trong kỳ tính thuế.</w:t>
      </w:r>
    </w:p>
    <w:p w14:paraId="4DF06629" w14:textId="77777777" w:rsidR="009A7AE9" w:rsidRPr="009A7AE9" w:rsidRDefault="009A7AE9" w:rsidP="009A7AE9">
      <w:pPr>
        <w:spacing w:before="240"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color w:val="000000" w:themeColor="text1"/>
          <w:sz w:val="26"/>
          <w:szCs w:val="26"/>
        </w:rPr>
        <w:t>Theo Thông tư 111/2013/TT-BTC, lao động ký hợp đồng thử việc mà có tổng mức thu nhập từ 2 triệu đồng/lần trở lên thì doanh nghiệp thực hiện khấu trừ thuế theo mức 10% trên thu nhập trước khi trả cho người lao động.</w:t>
      </w:r>
    </w:p>
    <w:p w14:paraId="1A8C0AF0" w14:textId="2B0BA64C" w:rsidR="009A7AE9" w:rsidRPr="009A7AE9" w:rsidRDefault="009A7AE9" w:rsidP="009A7AE9">
      <w:pPr>
        <w:spacing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b/>
          <w:bCs/>
          <w:color w:val="000000" w:themeColor="text1"/>
          <w:sz w:val="26"/>
          <w:szCs w:val="26"/>
          <w:bdr w:val="single" w:sz="2" w:space="0" w:color="E5E7EB" w:frame="1"/>
        </w:rPr>
        <w:t>Mức lương phải nộp thuế</w:t>
      </w:r>
    </w:p>
    <w:p w14:paraId="098C5D14" w14:textId="77777777" w:rsidR="009A7AE9" w:rsidRPr="009A7AE9" w:rsidRDefault="009A7AE9" w:rsidP="009A7AE9">
      <w:pPr>
        <w:spacing w:before="240"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color w:val="000000" w:themeColor="text1"/>
          <w:sz w:val="26"/>
          <w:szCs w:val="26"/>
        </w:rPr>
        <w:t>Bộ Tài chính cho biết theo quy định tại Nghị quyết số 954/2020/UBTVQH14 về điều chỉnh mức giảm trừ gia cảnh của thuế TNCN, mức giảm trừ cho bản thân người nộp thuế đã được nâng từ 9 triệu đồng lên 11 triệu đồng/tháng và cho mỗi người phụ thuộc từ 3,6 triệu đồng lên 4,4 triệu đồng/tháng.</w:t>
      </w:r>
    </w:p>
    <w:p w14:paraId="68DB6B1B" w14:textId="77777777" w:rsidR="009A7AE9" w:rsidRPr="009A7AE9" w:rsidRDefault="009A7AE9" w:rsidP="009A7AE9">
      <w:pPr>
        <w:spacing w:before="240"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color w:val="000000" w:themeColor="text1"/>
          <w:sz w:val="26"/>
          <w:szCs w:val="26"/>
        </w:rPr>
        <w:t>Như vậy, mức lương phải nộp thuế, cá nhân không có người phụ thuộc thì phải nộp thuế thu nhập khi có tổng thu nhập từ tiền lương, tiền công trên 11 triệu đồng/tháng (thu nhập này đã trừ các khoản đóng bảo hiểm bắt buộc theo quy định và các khoản đóng góp khác như từ thiện, nhân đạo,…).</w:t>
      </w:r>
    </w:p>
    <w:p w14:paraId="44A8D668" w14:textId="77777777" w:rsidR="009A7AE9" w:rsidRPr="009A7AE9" w:rsidRDefault="009A7AE9" w:rsidP="009A7AE9">
      <w:pPr>
        <w:spacing w:before="240" w:line="420" w:lineRule="atLeast"/>
        <w:rPr>
          <w:rFonts w:ascii="Times New Roman" w:eastAsia="Times New Roman" w:hAnsi="Times New Roman" w:cs="Times New Roman"/>
          <w:color w:val="000000" w:themeColor="text1"/>
          <w:sz w:val="26"/>
          <w:szCs w:val="26"/>
        </w:rPr>
      </w:pPr>
      <w:r w:rsidRPr="009A7AE9">
        <w:rPr>
          <w:rFonts w:ascii="Times New Roman" w:eastAsia="Times New Roman" w:hAnsi="Times New Roman" w:cs="Times New Roman"/>
          <w:color w:val="000000" w:themeColor="text1"/>
          <w:sz w:val="26"/>
          <w:szCs w:val="26"/>
        </w:rPr>
        <w:t>Với mức điều chỉnh này, người có thu nhập từ tiền lương, tiền công 17 triệu đồng/tháng (nếu có 1 người phụ thuộc) hay 22 triệu đồng/tháng (nếu có 2 người phụ thuộc) cũng chưa phải nộp thuế TNCN.</w:t>
      </w:r>
    </w:p>
    <w:p w14:paraId="21829B3D" w14:textId="28EA2E37" w:rsidR="00F44FAA" w:rsidRPr="009A7AE9" w:rsidRDefault="00F44FAA" w:rsidP="009A7AE9">
      <w:pPr>
        <w:rPr>
          <w:rFonts w:ascii="Times New Roman" w:hAnsi="Times New Roman" w:cs="Times New Roman"/>
          <w:color w:val="000000" w:themeColor="text1"/>
        </w:rPr>
      </w:pPr>
    </w:p>
    <w:sectPr w:rsidR="00F44FAA" w:rsidRPr="009A7A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AA"/>
    <w:rsid w:val="00037193"/>
    <w:rsid w:val="002F2716"/>
    <w:rsid w:val="009A7AE9"/>
    <w:rsid w:val="00F44FA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6B35"/>
  <w15:docId w15:val="{F253D750-0755-C249-92B2-EBD43B98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7AE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A7AE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AE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A7AE9"/>
    <w:rPr>
      <w:rFonts w:ascii="Times New Roman" w:eastAsia="Times New Roman" w:hAnsi="Times New Roman" w:cs="Times New Roman"/>
      <w:b/>
      <w:bCs/>
    </w:rPr>
  </w:style>
  <w:style w:type="character" w:styleId="Hyperlink">
    <w:name w:val="Hyperlink"/>
    <w:basedOn w:val="DefaultParagraphFont"/>
    <w:uiPriority w:val="99"/>
    <w:semiHidden/>
    <w:unhideWhenUsed/>
    <w:rsid w:val="009A7AE9"/>
    <w:rPr>
      <w:color w:val="0000FF"/>
      <w:u w:val="single"/>
    </w:rPr>
  </w:style>
  <w:style w:type="character" w:customStyle="1" w:styleId="like-number">
    <w:name w:val="like-number"/>
    <w:basedOn w:val="DefaultParagraphFont"/>
    <w:rsid w:val="009A7AE9"/>
  </w:style>
  <w:style w:type="paragraph" w:styleId="NormalWeb">
    <w:name w:val="Normal (Web)"/>
    <w:basedOn w:val="Normal"/>
    <w:uiPriority w:val="99"/>
    <w:semiHidden/>
    <w:unhideWhenUsed/>
    <w:rsid w:val="009A7AE9"/>
    <w:pPr>
      <w:spacing w:before="100" w:beforeAutospacing="1" w:after="100" w:afterAutospacing="1"/>
    </w:pPr>
    <w:rPr>
      <w:rFonts w:ascii="Times New Roman" w:eastAsia="Times New Roman" w:hAnsi="Times New Roman" w:cs="Times New Roman"/>
    </w:rPr>
  </w:style>
  <w:style w:type="paragraph" w:customStyle="1" w:styleId="t-j">
    <w:name w:val="t-j"/>
    <w:basedOn w:val="Normal"/>
    <w:rsid w:val="009A7AE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A7AE9"/>
    <w:rPr>
      <w:b/>
      <w:bCs/>
    </w:rPr>
  </w:style>
  <w:style w:type="character" w:customStyle="1" w:styleId="apple-converted-space">
    <w:name w:val="apple-converted-space"/>
    <w:basedOn w:val="DefaultParagraphFont"/>
    <w:rsid w:val="009A7AE9"/>
  </w:style>
  <w:style w:type="character" w:styleId="Emphasis">
    <w:name w:val="Emphasis"/>
    <w:basedOn w:val="DefaultParagraphFont"/>
    <w:uiPriority w:val="20"/>
    <w:qFormat/>
    <w:rsid w:val="009A7AE9"/>
    <w:rPr>
      <w:i/>
      <w:iCs/>
    </w:rPr>
  </w:style>
  <w:style w:type="paragraph" w:customStyle="1" w:styleId="summary">
    <w:name w:val="summary"/>
    <w:basedOn w:val="Normal"/>
    <w:rsid w:val="009A7AE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880550">
      <w:bodyDiv w:val="1"/>
      <w:marLeft w:val="0"/>
      <w:marRight w:val="0"/>
      <w:marTop w:val="0"/>
      <w:marBottom w:val="0"/>
      <w:divBdr>
        <w:top w:val="none" w:sz="0" w:space="0" w:color="auto"/>
        <w:left w:val="none" w:sz="0" w:space="0" w:color="auto"/>
        <w:bottom w:val="none" w:sz="0" w:space="0" w:color="auto"/>
        <w:right w:val="none" w:sz="0" w:space="0" w:color="auto"/>
      </w:divBdr>
      <w:divsChild>
        <w:div w:id="103427646">
          <w:marLeft w:val="0"/>
          <w:marRight w:val="600"/>
          <w:marTop w:val="0"/>
          <w:marBottom w:val="0"/>
          <w:divBdr>
            <w:top w:val="none" w:sz="0" w:space="0" w:color="auto"/>
            <w:left w:val="none" w:sz="0" w:space="0" w:color="auto"/>
            <w:bottom w:val="none" w:sz="0" w:space="0" w:color="auto"/>
            <w:right w:val="none" w:sz="0" w:space="0" w:color="auto"/>
          </w:divBdr>
          <w:divsChild>
            <w:div w:id="182592094">
              <w:marLeft w:val="0"/>
              <w:marRight w:val="0"/>
              <w:marTop w:val="0"/>
              <w:marBottom w:val="0"/>
              <w:divBdr>
                <w:top w:val="none" w:sz="0" w:space="0" w:color="auto"/>
                <w:left w:val="none" w:sz="0" w:space="0" w:color="auto"/>
                <w:bottom w:val="none" w:sz="0" w:space="0" w:color="auto"/>
                <w:right w:val="none" w:sz="0" w:space="0" w:color="auto"/>
              </w:divBdr>
              <w:divsChild>
                <w:div w:id="1734960876">
                  <w:marLeft w:val="0"/>
                  <w:marRight w:val="0"/>
                  <w:marTop w:val="0"/>
                  <w:marBottom w:val="0"/>
                  <w:divBdr>
                    <w:top w:val="none" w:sz="0" w:space="0" w:color="auto"/>
                    <w:left w:val="none" w:sz="0" w:space="0" w:color="auto"/>
                    <w:bottom w:val="none" w:sz="0" w:space="0" w:color="auto"/>
                    <w:right w:val="none" w:sz="0" w:space="0" w:color="auto"/>
                  </w:divBdr>
                  <w:divsChild>
                    <w:div w:id="1273709378">
                      <w:marLeft w:val="0"/>
                      <w:marRight w:val="0"/>
                      <w:marTop w:val="300"/>
                      <w:marBottom w:val="300"/>
                      <w:divBdr>
                        <w:top w:val="none" w:sz="0" w:space="0" w:color="auto"/>
                        <w:left w:val="none" w:sz="0" w:space="0" w:color="auto"/>
                        <w:bottom w:val="none" w:sz="0" w:space="0" w:color="auto"/>
                        <w:right w:val="none" w:sz="0" w:space="0" w:color="auto"/>
                      </w:divBdr>
                    </w:div>
                  </w:divsChild>
                </w:div>
                <w:div w:id="692809449">
                  <w:marLeft w:val="0"/>
                  <w:marRight w:val="0"/>
                  <w:marTop w:val="0"/>
                  <w:marBottom w:val="0"/>
                  <w:divBdr>
                    <w:top w:val="none" w:sz="0" w:space="0" w:color="auto"/>
                    <w:left w:val="none" w:sz="0" w:space="0" w:color="auto"/>
                    <w:bottom w:val="none" w:sz="0" w:space="0" w:color="auto"/>
                    <w:right w:val="none" w:sz="0" w:space="0" w:color="auto"/>
                  </w:divBdr>
                  <w:divsChild>
                    <w:div w:id="616640889">
                      <w:marLeft w:val="0"/>
                      <w:marRight w:val="0"/>
                      <w:marTop w:val="0"/>
                      <w:marBottom w:val="225"/>
                      <w:divBdr>
                        <w:top w:val="none" w:sz="0" w:space="0" w:color="auto"/>
                        <w:left w:val="none" w:sz="0" w:space="0" w:color="auto"/>
                        <w:bottom w:val="none" w:sz="0" w:space="0" w:color="auto"/>
                        <w:right w:val="none" w:sz="0" w:space="0" w:color="auto"/>
                      </w:divBdr>
                    </w:div>
                    <w:div w:id="1849904091">
                      <w:marLeft w:val="0"/>
                      <w:marRight w:val="0"/>
                      <w:marTop w:val="0"/>
                      <w:marBottom w:val="0"/>
                      <w:divBdr>
                        <w:top w:val="none" w:sz="0" w:space="0" w:color="auto"/>
                        <w:left w:val="none" w:sz="0" w:space="0" w:color="auto"/>
                        <w:bottom w:val="none" w:sz="0" w:space="0" w:color="auto"/>
                        <w:right w:val="none" w:sz="0" w:space="0" w:color="auto"/>
                      </w:divBdr>
                      <w:divsChild>
                        <w:div w:id="1760373302">
                          <w:marLeft w:val="0"/>
                          <w:marRight w:val="0"/>
                          <w:marTop w:val="0"/>
                          <w:marBottom w:val="0"/>
                          <w:divBdr>
                            <w:top w:val="none" w:sz="0" w:space="0" w:color="auto"/>
                            <w:left w:val="none" w:sz="0" w:space="0" w:color="auto"/>
                            <w:bottom w:val="none" w:sz="0" w:space="0" w:color="auto"/>
                            <w:right w:val="none" w:sz="0" w:space="0" w:color="auto"/>
                          </w:divBdr>
                          <w:divsChild>
                            <w:div w:id="7457596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2022-04-12T14:48:00Z</dcterms:created>
  <dcterms:modified xsi:type="dcterms:W3CDTF">2022-04-15T14:26:00Z</dcterms:modified>
</cp:coreProperties>
</file>