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52C8" w:rsidRPr="007F52C8" w:rsidRDefault="007F52C8" w:rsidP="007F52C8">
      <w:pPr>
        <w:shd w:val="clear" w:color="auto" w:fill="FFFFFF"/>
        <w:spacing w:before="150" w:line="360" w:lineRule="auto"/>
        <w:jc w:val="both"/>
        <w:outlineLvl w:val="0"/>
        <w:rPr>
          <w:rFonts w:ascii="Times New Roman" w:eastAsia="Times New Roman" w:hAnsi="Times New Roman" w:cs="Times New Roman"/>
          <w:b/>
          <w:bCs/>
          <w:color w:val="026896"/>
          <w:kern w:val="36"/>
          <w:sz w:val="26"/>
          <w:szCs w:val="26"/>
          <w:lang w:val="vi-VN"/>
          <w14:ligatures w14:val="none"/>
        </w:rPr>
      </w:pPr>
      <w:r>
        <w:rPr>
          <w:rFonts w:ascii="Times New Roman" w:eastAsia="Times New Roman" w:hAnsi="Times New Roman" w:cs="Times New Roman"/>
          <w:b/>
          <w:bCs/>
          <w:color w:val="026896"/>
          <w:kern w:val="36"/>
          <w:sz w:val="26"/>
          <w:szCs w:val="26"/>
          <w:lang w:val="vi-VN"/>
          <w14:ligatures w14:val="none"/>
        </w:rPr>
        <w:t>CẬP NHẬT MỚI DỰ THẢO LUẬT THUẾ TIÊU THỤ ĐẶC BIỆT (SỬA ĐỔI)</w:t>
      </w:r>
    </w:p>
    <w:p w:rsidR="007F52C8" w:rsidRDefault="007F52C8" w:rsidP="007F52C8">
      <w:pPr>
        <w:shd w:val="clear" w:color="auto" w:fill="FFFFFF"/>
        <w:spacing w:before="150" w:after="150" w:line="360" w:lineRule="auto"/>
        <w:jc w:val="both"/>
        <w:outlineLvl w:val="1"/>
        <w:rPr>
          <w:rFonts w:ascii="Times New Roman" w:eastAsia="Times New Roman" w:hAnsi="Times New Roman" w:cs="Times New Roman"/>
          <w:b/>
          <w:bCs/>
          <w:color w:val="026896"/>
          <w:kern w:val="36"/>
          <w:sz w:val="26"/>
          <w:szCs w:val="26"/>
          <w14:ligatures w14:val="none"/>
        </w:rPr>
      </w:pPr>
    </w:p>
    <w:p w:rsidR="007F52C8" w:rsidRPr="007F52C8" w:rsidRDefault="007F52C8" w:rsidP="007F52C8">
      <w:pPr>
        <w:shd w:val="clear" w:color="auto" w:fill="FFFFFF"/>
        <w:spacing w:before="150" w:after="150" w:line="360" w:lineRule="auto"/>
        <w:jc w:val="both"/>
        <w:outlineLvl w:val="1"/>
        <w:rPr>
          <w:rFonts w:ascii="Times New Roman" w:eastAsia="Times New Roman" w:hAnsi="Times New Roman" w:cs="Times New Roman"/>
          <w:b/>
          <w:bCs/>
          <w:color w:val="5F5F5F"/>
          <w:kern w:val="0"/>
          <w:sz w:val="26"/>
          <w:szCs w:val="26"/>
          <w14:ligatures w14:val="none"/>
        </w:rPr>
      </w:pPr>
      <w:r w:rsidRPr="007F52C8">
        <w:rPr>
          <w:rFonts w:ascii="Times New Roman" w:eastAsia="Times New Roman" w:hAnsi="Times New Roman" w:cs="Times New Roman"/>
          <w:b/>
          <w:bCs/>
          <w:color w:val="5F5F5F"/>
          <w:kern w:val="0"/>
          <w:sz w:val="26"/>
          <w:szCs w:val="26"/>
          <w:lang w:val="vi-VN"/>
          <w14:ligatures w14:val="none"/>
        </w:rPr>
        <w:t xml:space="preserve">    </w:t>
      </w:r>
      <w:r w:rsidRPr="007F52C8">
        <w:rPr>
          <w:rFonts w:ascii="Times New Roman" w:eastAsia="Times New Roman" w:hAnsi="Times New Roman" w:cs="Times New Roman"/>
          <w:b/>
          <w:bCs/>
          <w:color w:val="5F5F5F"/>
          <w:kern w:val="0"/>
          <w:sz w:val="26"/>
          <w:szCs w:val="26"/>
          <w14:ligatures w14:val="none"/>
        </w:rPr>
        <w:t>Mới đây, Cổng Thông tin điện tử Chính phủ vừa công bố dự thảo lần 2 Luật Thuế tiêu thụ đặc biệt (sửa đổi).</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b/>
          <w:bCs/>
          <w:color w:val="333333"/>
          <w:kern w:val="0"/>
          <w:sz w:val="26"/>
          <w:szCs w:val="26"/>
          <w:lang w:val="vi-VN"/>
          <w14:ligatures w14:val="none"/>
        </w:rPr>
        <w:t xml:space="preserve">     </w:t>
      </w:r>
      <w:r w:rsidRPr="007F52C8">
        <w:rPr>
          <w:rFonts w:ascii="Times New Roman" w:eastAsia="Times New Roman" w:hAnsi="Times New Roman" w:cs="Times New Roman"/>
          <w:color w:val="333333"/>
          <w:kern w:val="0"/>
          <w:sz w:val="26"/>
          <w:szCs w:val="26"/>
          <w14:ligatures w14:val="none"/>
        </w:rPr>
        <w:t>Hiện nay, Bộ Tài chính đang dự thảo lần 2 Luật Thuế tiêu thụ đặc biệt (sửa đổi).</w:t>
      </w:r>
      <w:r w:rsidRPr="007F52C8">
        <w:rPr>
          <w:rFonts w:ascii="Times New Roman" w:eastAsia="Times New Roman" w:hAnsi="Times New Roman" w:cs="Times New Roman"/>
          <w:color w:val="333333"/>
          <w:kern w:val="0"/>
          <w:sz w:val="26"/>
          <w:szCs w:val="26"/>
          <w:lang w:val="vi-VN"/>
          <w14:ligatures w14:val="none"/>
        </w:rPr>
        <w:t xml:space="preserve"> </w:t>
      </w:r>
      <w:r w:rsidRPr="007F52C8">
        <w:rPr>
          <w:rFonts w:ascii="Times New Roman" w:eastAsia="Times New Roman" w:hAnsi="Times New Roman" w:cs="Times New Roman"/>
          <w:color w:val="333333"/>
          <w:kern w:val="0"/>
          <w:sz w:val="26"/>
          <w:szCs w:val="26"/>
          <w14:ligatures w14:val="none"/>
        </w:rPr>
        <w:t>Theo đó, bố cục và nội dung cơ bản của dự thảo Luật như sau:</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b/>
          <w:bCs/>
          <w:i/>
          <w:iCs/>
          <w:color w:val="333333"/>
          <w:kern w:val="0"/>
          <w:sz w:val="26"/>
          <w:szCs w:val="26"/>
          <w14:ligatures w14:val="none"/>
        </w:rPr>
        <w:t>(1) Bố cục</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Dự thảo Luật Thuế tiêu thụ đặc biệt (TTĐB) (sửa đổi) gồm 04 Chương, 12 Điều, cụ thể như sau:</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Chương I. Những quy định chung, gồm 04 điều (từ Điều 1 đến Điều 4).</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Chương II. Căn cứ tính thuế, gồm 04 điều (từ Điều 5 đến Điều 8).</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Chương III. Hoàn thuế, khấu trừ thuế, giảm thuế gồm 02 điều (Điều 9 và Điều 10).</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Chương IV. Điều khoản thi hành, gồm 02 Điều (Điều 11 và Điều 12).</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b/>
          <w:bCs/>
          <w:i/>
          <w:iCs/>
          <w:color w:val="333333"/>
          <w:kern w:val="0"/>
          <w:sz w:val="26"/>
          <w:szCs w:val="26"/>
          <w14:ligatures w14:val="none"/>
        </w:rPr>
        <w:t>(2) Nội dung cơ bản</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Dự thảo Luật sửa đổi 10 Điều của Luật thuế TTĐB hiện hành: gồm các Điều quy định về đối tượng chịu thuế (Điều 2); đối tượng không chịu thuế (Điều 3); người nộp thuế (Điều 4); căn cứ tính thuế (Điều 5); giá tính thuế (Điều 6); thuế suất (Điều 8); hoàn thuế, khấu trừ thuế (Điều 9); giảm thuế (Điều 10); hiệu lực thi hành (Điều 11); Tổ chức thực hiện (Điều 12) và bổ sung 01 Điều quy định về thời điểm xác định thuế TTĐB (Điều 7).</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Đối với những nội dung sửa đổi, bổ sung, dự thảo Luật đã bám sát theo 07 nhóm chính sách tại hồ sơ lập đề nghị xây dựng dự án Luật thuế TTĐB (sửa đổi) đã được Ủy ban Thường vụ Quốc hội (UBTVQH) và Quốc hội đồng ý thông qua gồm:</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Hoàn thiện các quy định về đối tượng chịu thuế TTĐB;</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Hoàn thiện các quy định về đối tượng không chịu thuế TTĐB;</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lastRenderedPageBreak/>
        <w:t>- Hoàn thiện quy định về căn cứ tính thuế TTĐB;</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Hoàn thiện quy định về giá tính thuế TTĐB;</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Hoàn thiện quy định về thuế suất thuế TTĐB;</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Hoàn thiện quy định về hoàn thuế, khấu trừ thuế TTĐB;</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Hoàn thiện quy định về điều khoản thi hành. Đồng thời, thực hiện ý kiến của Lãnh đạo Quốc hội, dự thảo Luật quy định luật hóa một số nội dung đang thực hiện ổn định tại các văn bản dưới Luật thuộc các nhóm chính sách nêu trên.</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Đơn cử, các đối tượng chịu thuế TTĐB bao gồm:</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b/>
          <w:bCs/>
          <w:color w:val="333333"/>
          <w:kern w:val="0"/>
          <w:sz w:val="26"/>
          <w:szCs w:val="26"/>
          <w14:ligatures w14:val="none"/>
        </w:rPr>
        <w:t>* Hàng hóa:</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Thuốc lá theo quy định của Luật phòng, chống tác hại của thuốc lá bao gồm thuốc lá điếu; xì gà; thuốc lá sợi; thuốc lào hoặc các dạng khác; chế phẩm khác từ cây thuốc lá dùng để hút, hít, nhai, ngửi, ngậm.</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Rượu theo quy định của Luật phòng, chống tác hại của rượu, bia, bao gồm cả các loại đồ uống có cồn thực phẩm khác được lên men từ trái cây, ngũ cốc; đồ uống được pha chế từ cồn thực phẩm.</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Bia.</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Xe có động cơ dưới 24 chỗ, bao gồm: xe ô tô chở người; xe chở người bốn bánh có gắn động cơ; xe ô tô pick-up chở người; xe ô tô pick-up chở hàng cabin kép; xe ô tô vừa chở người, vừa chở hàng có từ hai hàng ghế trở lên, có thiết kế vách ngăn cố định giữa khoang chở người và khoang chở hàng.</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Xe mô tô hai bánh, xe mô tô ba bánh có dung tích xi lanh trên 125cm3 .</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Máy bay, trực thăng, tàu lượn và du thuyền sử dụng cho mục đích dân dụng.</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Xăng các loại.</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lastRenderedPageBreak/>
        <w:t>- Điều hoà nhiệt độ công suất từ 90.000 BTU trở xuống trừ loại theo thiết kế của nhà sản xuất chỉ để lắp trên phương tiện vận tải bao gồm ô tô, toa xe lửa, tàu, thuyền, máy bay. Trường hợp tổ chức, cá nhân sản xuất bán hoặc tổ chức, cá nhân nhập khẩu nhập tách riêng từng bộ phận là cục nóng hoặc cục lạnh thì hàng hóa bán ra hoặc nhập khẩu (cục nóng, cục lạnh) vẫn thuộc đối tượng chịu thuế tiêu thụ đặc biệt như đối với sản phẩm hoàn chỉnh (máy điều hòa nhiệt độ hoàn chỉnh).</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Bài lá.</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Vàng mã, hàng mã, không bao gồm hàng mã là đồ chơi trẻ em, đồ</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dùng dạy học.</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Nước giải khát theo Tiêu chuẩn Việt Nam (TCVN),) có hàm lượng đường trên 5g/100ml.</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Hàng hóa quy định trên là sản phẩm hoàn chỉnh, không bao gồm linh kiện để lắp ráp các hàng hóa này.</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b/>
          <w:bCs/>
          <w:color w:val="333333"/>
          <w:kern w:val="0"/>
          <w:sz w:val="26"/>
          <w:szCs w:val="26"/>
          <w14:ligatures w14:val="none"/>
        </w:rPr>
        <w:t>* Dịch vụ:</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Kinh doanh vũ trường.</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Kinh doanh mát-xa (massage), ka-ra-ô-kê (karaoke).</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Kinh doanh ca-si-nô (casino); trò chơi điện tử có thưởng bao gồm trò</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chơi bằng máy giắc-pót (jackpot), máy sờ-lot (slot) và các loại máy tương tự.</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Kinh doanh đặt cược bao gồm đặt cược thể thao, giải trí và các hình thức đặt cược khác theo quy định của pháp luật.</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Kinh doanh gôn (golf) bao gồm kinh doanh sân tập gôn, bán thẻ hội viên, vé chơi gôn.</w:t>
      </w:r>
    </w:p>
    <w:p w:rsidR="007F52C8" w:rsidRPr="007F52C8" w:rsidRDefault="007F52C8" w:rsidP="007F52C8">
      <w:pPr>
        <w:shd w:val="clear" w:color="auto" w:fill="FFFFFF"/>
        <w:spacing w:after="150" w:line="360" w:lineRule="auto"/>
        <w:jc w:val="both"/>
        <w:rPr>
          <w:rFonts w:ascii="Times New Roman" w:eastAsia="Times New Roman" w:hAnsi="Times New Roman" w:cs="Times New Roman"/>
          <w:color w:val="333333"/>
          <w:kern w:val="0"/>
          <w:sz w:val="26"/>
          <w:szCs w:val="26"/>
          <w14:ligatures w14:val="none"/>
        </w:rPr>
      </w:pPr>
      <w:r w:rsidRPr="007F52C8">
        <w:rPr>
          <w:rFonts w:ascii="Times New Roman" w:eastAsia="Times New Roman" w:hAnsi="Times New Roman" w:cs="Times New Roman"/>
          <w:color w:val="333333"/>
          <w:kern w:val="0"/>
          <w:sz w:val="26"/>
          <w:szCs w:val="26"/>
          <w14:ligatures w14:val="none"/>
        </w:rPr>
        <w:t>- Kinh doanh xổ số.</w:t>
      </w:r>
    </w:p>
    <w:p w:rsidR="007F52C8" w:rsidRPr="007F52C8" w:rsidRDefault="007F52C8" w:rsidP="007F52C8">
      <w:pPr>
        <w:spacing w:line="360" w:lineRule="auto"/>
        <w:jc w:val="both"/>
        <w:rPr>
          <w:rFonts w:ascii="Times New Roman" w:hAnsi="Times New Roman" w:cs="Times New Roman"/>
          <w:sz w:val="26"/>
          <w:szCs w:val="26"/>
        </w:rPr>
      </w:pPr>
    </w:p>
    <w:sectPr w:rsidR="007F52C8" w:rsidRPr="007F52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C228A"/>
    <w:multiLevelType w:val="multilevel"/>
    <w:tmpl w:val="7DE6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87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C8"/>
    <w:rsid w:val="007F52C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9E7E4D4"/>
  <w15:chartTrackingRefBased/>
  <w15:docId w15:val="{E7B3F278-B060-4B41-9A84-A9010BB0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52C8"/>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F52C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2C8"/>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F52C8"/>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7F52C8"/>
    <w:rPr>
      <w:b/>
      <w:bCs/>
    </w:rPr>
  </w:style>
  <w:style w:type="character" w:styleId="Hyperlink">
    <w:name w:val="Hyperlink"/>
    <w:basedOn w:val="DefaultParagraphFont"/>
    <w:uiPriority w:val="99"/>
    <w:semiHidden/>
    <w:unhideWhenUsed/>
    <w:rsid w:val="007F52C8"/>
    <w:rPr>
      <w:color w:val="0000FF"/>
      <w:u w:val="single"/>
    </w:rPr>
  </w:style>
  <w:style w:type="paragraph" w:styleId="NormalWeb">
    <w:name w:val="Normal (Web)"/>
    <w:basedOn w:val="Normal"/>
    <w:uiPriority w:val="99"/>
    <w:semiHidden/>
    <w:unhideWhenUsed/>
    <w:rsid w:val="007F52C8"/>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F52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464529">
      <w:bodyDiv w:val="1"/>
      <w:marLeft w:val="0"/>
      <w:marRight w:val="0"/>
      <w:marTop w:val="0"/>
      <w:marBottom w:val="0"/>
      <w:divBdr>
        <w:top w:val="none" w:sz="0" w:space="0" w:color="auto"/>
        <w:left w:val="none" w:sz="0" w:space="0" w:color="auto"/>
        <w:bottom w:val="none" w:sz="0" w:space="0" w:color="auto"/>
        <w:right w:val="none" w:sz="0" w:space="0" w:color="auto"/>
      </w:divBdr>
      <w:divsChild>
        <w:div w:id="607859971">
          <w:marLeft w:val="0"/>
          <w:marRight w:val="0"/>
          <w:marTop w:val="0"/>
          <w:marBottom w:val="0"/>
          <w:divBdr>
            <w:top w:val="none" w:sz="0" w:space="0" w:color="auto"/>
            <w:left w:val="none" w:sz="0" w:space="0" w:color="auto"/>
            <w:bottom w:val="none" w:sz="0" w:space="0" w:color="auto"/>
            <w:right w:val="none" w:sz="0" w:space="0" w:color="auto"/>
          </w:divBdr>
          <w:divsChild>
            <w:div w:id="1768039357">
              <w:marLeft w:val="0"/>
              <w:marRight w:val="0"/>
              <w:marTop w:val="0"/>
              <w:marBottom w:val="0"/>
              <w:divBdr>
                <w:top w:val="none" w:sz="0" w:space="0" w:color="auto"/>
                <w:left w:val="none" w:sz="0" w:space="0" w:color="auto"/>
                <w:bottom w:val="none" w:sz="0" w:space="0" w:color="auto"/>
                <w:right w:val="none" w:sz="0" w:space="0" w:color="auto"/>
              </w:divBdr>
            </w:div>
          </w:divsChild>
        </w:div>
        <w:div w:id="958024551">
          <w:marLeft w:val="0"/>
          <w:marRight w:val="0"/>
          <w:marTop w:val="0"/>
          <w:marBottom w:val="0"/>
          <w:divBdr>
            <w:top w:val="none" w:sz="0" w:space="0" w:color="auto"/>
            <w:left w:val="none" w:sz="0" w:space="0" w:color="auto"/>
            <w:bottom w:val="none" w:sz="0" w:space="0" w:color="auto"/>
            <w:right w:val="none" w:sz="0" w:space="0" w:color="auto"/>
          </w:divBdr>
          <w:divsChild>
            <w:div w:id="22951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2024-06-13T09:55:00Z</dcterms:created>
  <dcterms:modified xsi:type="dcterms:W3CDTF">2024-06-13T10:00:00Z</dcterms:modified>
</cp:coreProperties>
</file>