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F5495" w14:textId="4061980F" w:rsidR="00774742" w:rsidRPr="00EB22FC" w:rsidRDefault="00774742" w:rsidP="00EB22FC">
      <w:pPr>
        <w:jc w:val="both"/>
        <w:rPr>
          <w:rFonts w:ascii="Times New Roman" w:hAnsi="Times New Roman" w:cs="Times New Roman"/>
          <w:b/>
          <w:bCs/>
        </w:rPr>
      </w:pPr>
      <w:r w:rsidRPr="00EB22FC">
        <w:rPr>
          <w:rFonts w:ascii="Times New Roman" w:hAnsi="Times New Roman" w:cs="Times New Roman"/>
          <w:b/>
          <w:bCs/>
        </w:rPr>
        <w:t>NHỮNG ĐIỂM MỚI THEO THÔNG TƯ SỐ 23/2023/TT-BTC CỦA BỘ TÀI CHÍNH VỀ KHẤU HAO TÀI SẢN CỐ ĐỊNH</w:t>
      </w:r>
    </w:p>
    <w:p w14:paraId="11C68257" w14:textId="00CD92EC" w:rsidR="00774742" w:rsidRPr="00EB22FC" w:rsidRDefault="00774742" w:rsidP="00EB22FC">
      <w:pPr>
        <w:jc w:val="both"/>
        <w:rPr>
          <w:rFonts w:ascii="Times New Roman" w:hAnsi="Times New Roman" w:cs="Times New Roman"/>
        </w:rPr>
      </w:pPr>
      <w:r w:rsidRPr="00EB22FC">
        <w:rPr>
          <w:rFonts w:ascii="Times New Roman" w:hAnsi="Times New Roman" w:cs="Times New Roman"/>
        </w:rPr>
        <w:t>Nguyễn Lê Nhân</w:t>
      </w:r>
    </w:p>
    <w:p w14:paraId="02A3290D" w14:textId="7B13557B" w:rsidR="00774742" w:rsidRPr="00EB22FC" w:rsidRDefault="00774742" w:rsidP="00EB22FC">
      <w:pPr>
        <w:jc w:val="both"/>
        <w:rPr>
          <w:rFonts w:ascii="Times New Roman" w:hAnsi="Times New Roman" w:cs="Times New Roman"/>
        </w:rPr>
      </w:pPr>
      <w:r w:rsidRPr="00EB22FC">
        <w:rPr>
          <w:rFonts w:ascii="Times New Roman" w:hAnsi="Times New Roman" w:cs="Times New Roman"/>
        </w:rPr>
        <w:t>Ngày 25/4/2023, Bộ Tài chính ban hành Thông tư số 23/2023/TT-BTC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3BE0A464" w14:textId="2FC34E50" w:rsidR="00774742" w:rsidRPr="00EB22FC" w:rsidRDefault="00774742" w:rsidP="00EB22FC">
      <w:pPr>
        <w:jc w:val="both"/>
        <w:rPr>
          <w:rFonts w:ascii="Times New Roman" w:hAnsi="Times New Roman" w:cs="Times New Roman"/>
        </w:rPr>
      </w:pPr>
      <w:r w:rsidRPr="00EB22FC">
        <w:rPr>
          <w:rFonts w:ascii="Times New Roman" w:hAnsi="Times New Roman" w:cs="Times New Roman"/>
        </w:rPr>
        <w:t>Một số điểm cần lưu ý của Thông tư số 23/2023/TT-BTC, cụ thể:</w:t>
      </w:r>
    </w:p>
    <w:p w14:paraId="4C3DFE41" w14:textId="72A02C00" w:rsidR="00774742" w:rsidRPr="00EB22FC" w:rsidRDefault="00774742" w:rsidP="00EB22FC">
      <w:pPr>
        <w:jc w:val="both"/>
        <w:rPr>
          <w:rFonts w:ascii="Times New Roman" w:hAnsi="Times New Roman" w:cs="Times New Roman"/>
        </w:rPr>
      </w:pPr>
      <w:r w:rsidRPr="00EB22FC">
        <w:rPr>
          <w:rFonts w:ascii="Times New Roman" w:hAnsi="Times New Roman" w:cs="Times New Roman"/>
        </w:rPr>
        <w:t>Quy định về Phạm vi điều chỉnh (Theo Điều 1, Chương 1 của Thông tư):</w:t>
      </w:r>
    </w:p>
    <w:p w14:paraId="383EEA97" w14:textId="05C4ED25" w:rsidR="00774742" w:rsidRPr="00EB22FC" w:rsidRDefault="00774742" w:rsidP="00EB22FC">
      <w:pPr>
        <w:jc w:val="both"/>
        <w:rPr>
          <w:rFonts w:ascii="Times New Roman" w:hAnsi="Times New Roman" w:cs="Times New Roman"/>
        </w:rPr>
      </w:pPr>
      <w:r w:rsidRPr="00EB22FC">
        <w:rPr>
          <w:rFonts w:ascii="Times New Roman" w:hAnsi="Times New Roman" w:cs="Times New Roman"/>
        </w:rPr>
        <w:t>1. Thông tư quy định chế độ quản lý, tính hao mòn, khấu hao tài sản cố định tại cơ quan, tổ chức, đơn vị và tài sản cố định do Nhà nước giao cho doanh nghiệp quản lý không tính thành phần vốn Nhà nước tại doanh nghiệp; bao gồm:</w:t>
      </w:r>
    </w:p>
    <w:p w14:paraId="6B0424B7" w14:textId="6ECA62B4" w:rsidR="00774742" w:rsidRPr="00EB22FC" w:rsidRDefault="00774742" w:rsidP="00EB22FC">
      <w:pPr>
        <w:jc w:val="both"/>
        <w:rPr>
          <w:rFonts w:ascii="Times New Roman" w:hAnsi="Times New Roman" w:cs="Times New Roman"/>
        </w:rPr>
      </w:pPr>
      <w:r w:rsidRPr="00EB22FC">
        <w:rPr>
          <w:rFonts w:ascii="Times New Roman" w:hAnsi="Times New Roman" w:cs="Times New Roman"/>
        </w:rPr>
        <w:t>a) Tài sản cố định tại cơ quan Nhà nước, đơn vị sự nghiệp công lập, đơn vị lực lượng vũ trang nhân dân, cơ quan Đảng Cộng sản Việt Nam, Mặt trận Tổ quốc Việt Nam, tổ chức chính trị - xã hội.</w:t>
      </w:r>
    </w:p>
    <w:p w14:paraId="6922D1C9" w14:textId="6539916B" w:rsidR="00774742" w:rsidRPr="00EB22FC" w:rsidRDefault="00774742" w:rsidP="00EB22FC">
      <w:pPr>
        <w:jc w:val="both"/>
        <w:rPr>
          <w:rFonts w:ascii="Times New Roman" w:hAnsi="Times New Roman" w:cs="Times New Roman"/>
        </w:rPr>
      </w:pPr>
      <w:r w:rsidRPr="00EB22FC">
        <w:rPr>
          <w:rFonts w:ascii="Times New Roman" w:hAnsi="Times New Roman" w:cs="Times New Roman"/>
        </w:rPr>
        <w:t>b) Tài sản cố định là trụ sở làm việc, cơ sở hoạt động sự nghiệp của tổ chức chính trị xã hội - nghề nghiệp, tổ chức xã hội, tổ chức xã hội - nghề nghiệp, tổ chức khác được thành lập theo quy định của pháp luật về Hội quy định tại Khoản 1, Điều 69 và Khoản 2, Điều 70 của Luật Quản lý, sử dụng tài sản công.</w:t>
      </w:r>
    </w:p>
    <w:p w14:paraId="0D5936C6" w14:textId="6C8CA3CA" w:rsidR="00774742" w:rsidRPr="00EB22FC" w:rsidRDefault="00774742" w:rsidP="00EB22FC">
      <w:pPr>
        <w:jc w:val="both"/>
        <w:rPr>
          <w:rFonts w:ascii="Times New Roman" w:hAnsi="Times New Roman" w:cs="Times New Roman"/>
        </w:rPr>
      </w:pPr>
      <w:r w:rsidRPr="00EB22FC">
        <w:rPr>
          <w:rFonts w:ascii="Times New Roman" w:hAnsi="Times New Roman" w:cs="Times New Roman"/>
        </w:rPr>
        <w:t>c) Tài sản cố định do Nhà nước giao cho doanh nghiệp quản lý không tính thành phần vốn Nhà nước tại doanh nghiệp.</w:t>
      </w:r>
    </w:p>
    <w:p w14:paraId="66DD40EF" w14:textId="6A746821" w:rsidR="00774742" w:rsidRPr="00EB22FC" w:rsidRDefault="00774742" w:rsidP="00EB22FC">
      <w:pPr>
        <w:jc w:val="both"/>
        <w:rPr>
          <w:rFonts w:ascii="Times New Roman" w:hAnsi="Times New Roman" w:cs="Times New Roman"/>
        </w:rPr>
      </w:pPr>
      <w:r w:rsidRPr="00EB22FC">
        <w:rPr>
          <w:rFonts w:ascii="Times New Roman" w:hAnsi="Times New Roman" w:cs="Times New Roman"/>
        </w:rPr>
        <w:t>2. Thông tư này không điều chỉnh đối với:</w:t>
      </w:r>
    </w:p>
    <w:p w14:paraId="119706F7" w14:textId="0ECB9BA0" w:rsidR="00774742" w:rsidRPr="00EB22FC" w:rsidRDefault="00774742" w:rsidP="00EB22FC">
      <w:pPr>
        <w:jc w:val="both"/>
        <w:rPr>
          <w:rFonts w:ascii="Times New Roman" w:hAnsi="Times New Roman" w:cs="Times New Roman"/>
        </w:rPr>
      </w:pPr>
      <w:r w:rsidRPr="00EB22FC">
        <w:rPr>
          <w:rFonts w:ascii="Times New Roman" w:hAnsi="Times New Roman" w:cs="Times New Roman"/>
        </w:rPr>
        <w:t>a) Tài sản cố định đang thuê hoạt động; tài sản cố định bảo quản hộ, giữ hộ, cất giữ hộ Nhà nước hoặc các tổ chức, cá nhân khác.</w:t>
      </w:r>
    </w:p>
    <w:p w14:paraId="29DC4B0F" w14:textId="341DF03D" w:rsidR="00774742" w:rsidRPr="00EB22FC" w:rsidRDefault="00774742" w:rsidP="00EB22FC">
      <w:pPr>
        <w:jc w:val="both"/>
        <w:rPr>
          <w:rFonts w:ascii="Times New Roman" w:hAnsi="Times New Roman" w:cs="Times New Roman"/>
        </w:rPr>
      </w:pPr>
      <w:r w:rsidRPr="00EB22FC">
        <w:rPr>
          <w:rFonts w:ascii="Times New Roman" w:hAnsi="Times New Roman" w:cs="Times New Roman"/>
        </w:rPr>
        <w:t>b) Tài sản cố định là tài sản đặc biệt, tài sản chuyên dùng tại đơn vị lực lượng vũ trang nhân dân quy định tại Khoản 1, Khoản 2 Điều 64 của Luật Quản lý, sử dụng tài sản công. Chế độ quản lý, tính hao mòn, khấu hao đối với các tài sản này thực hiện theo quy định riêng của Bộ trưởng Bộ Quốc phòng, Bộ trưởng Bộ Công an.</w:t>
      </w:r>
    </w:p>
    <w:p w14:paraId="70CDC082" w14:textId="7B9626F4" w:rsidR="00774742" w:rsidRPr="00EB22FC" w:rsidRDefault="00774742" w:rsidP="00EB22FC">
      <w:pPr>
        <w:jc w:val="both"/>
        <w:rPr>
          <w:rFonts w:ascii="Times New Roman" w:hAnsi="Times New Roman" w:cs="Times New Roman"/>
        </w:rPr>
      </w:pPr>
      <w:r w:rsidRPr="00EB22FC">
        <w:rPr>
          <w:rFonts w:ascii="Times New Roman" w:hAnsi="Times New Roman" w:cs="Times New Roman"/>
        </w:rPr>
        <w:t>c) Tài sản kết cấu hạ tầng phục vụ lợi ích quốc gia, lợi ích công cộng do Nhà nước đầu tư, quản lý được giao cho đối tượng quản lý theo quy định của pháp luật về quản lý, sử dụng tài sản công.</w:t>
      </w:r>
    </w:p>
    <w:p w14:paraId="23DF1DB6" w14:textId="205F2387" w:rsidR="00774742" w:rsidRPr="00EB22FC" w:rsidRDefault="00774742" w:rsidP="00EB22FC">
      <w:pPr>
        <w:jc w:val="both"/>
        <w:rPr>
          <w:rFonts w:ascii="Times New Roman" w:hAnsi="Times New Roman" w:cs="Times New Roman"/>
        </w:rPr>
      </w:pPr>
      <w:r w:rsidRPr="00EB22FC">
        <w:rPr>
          <w:rFonts w:ascii="Times New Roman" w:hAnsi="Times New Roman" w:cs="Times New Roman"/>
        </w:rPr>
        <w:t>Quy định về Điều khoản thi hành (Theo Điều 17 Chương IV của Thông tư</w:t>
      </w:r>
      <w:proofErr w:type="gramStart"/>
      <w:r w:rsidRPr="00EB22FC">
        <w:rPr>
          <w:rFonts w:ascii="Times New Roman" w:hAnsi="Times New Roman" w:cs="Times New Roman"/>
        </w:rPr>
        <w:t>) :</w:t>
      </w:r>
      <w:proofErr w:type="gramEnd"/>
    </w:p>
    <w:p w14:paraId="22CE791F" w14:textId="4A6153D4" w:rsidR="00774742" w:rsidRPr="00EB22FC" w:rsidRDefault="00774742" w:rsidP="00EB22FC">
      <w:pPr>
        <w:jc w:val="both"/>
        <w:rPr>
          <w:rFonts w:ascii="Times New Roman" w:hAnsi="Times New Roman" w:cs="Times New Roman"/>
        </w:rPr>
      </w:pPr>
      <w:r w:rsidRPr="00EB22FC">
        <w:rPr>
          <w:rFonts w:ascii="Times New Roman" w:hAnsi="Times New Roman" w:cs="Times New Roman"/>
        </w:rPr>
        <w:t xml:space="preserve">1. Đối với tài sản cố định đã được theo dõi trên sổ kế toán của cơ quan, tổ chức, đơn vị, doanh nghiệp trước ngày 20/6/2023, có thời gian để tính hao mòn, tỷ lệ hao mòn quy định tại Phụ lục số 01 ban hành kèm theo Thông tư số 23/2023/TT-BTC hoặc quy định của Bộ trưởng, Thủ trưởng cơ quan Trung ương, Ủy ban Nhân dân cấp tỉnh thay đổi so với quy định tại Phụ lục số 01 ban hành kèm theo Thông tư số 45/2018/TT-BTC hoặc quy định trước ngày 20/6/2023 của Bộ trưởng, Thủ trưởng cơ quan Trung ương, Ủy ban Nhân dân cấp tỉnh thì từ năm tài chính 2023 thực hiện xác định mức hao mòn hàng năm của tài sản như sau: Thời gian tính hao mòn của tài sản cùng loại được xác định theo quy định tại Phụ lục số 01 ban hành kèm theo Thông tư số 23/2023/TT-BTC, quy định của Bộ trưởng, Thủ trưởng cơ quan trung ương, Ủy ban Nhân dân cấp tỉnh theo quy định tại Điểm a Khoản 1, Khoản 2, Điều 13 Thông tư số 23/2023/TT-BTC. Riêng mức hao mòn tài sản cố định cho năm cuối cùng thuộc thời gian để tính hao mòn của tài sản cố định được xác định là hiệu số giữa nguyên giá và số hao mòn luỹ kế, khấu hao đã trích của tài sản cố định đó. Trường hợp tài </w:t>
      </w:r>
      <w:r w:rsidRPr="00EB22FC">
        <w:rPr>
          <w:rFonts w:ascii="Times New Roman" w:hAnsi="Times New Roman" w:cs="Times New Roman"/>
        </w:rPr>
        <w:lastRenderedPageBreak/>
        <w:t>sản cố định đã hết thời gian tính hao mòn theo quy định, nhưng tài sản vẫn còn giá trị còn lại thì mức hao mòn của năm 2023 bằng giá trị còn lại của tài sản tính đến ngày 31/12/2022.</w:t>
      </w:r>
    </w:p>
    <w:p w14:paraId="1156768A" w14:textId="12D9C928" w:rsidR="00774742" w:rsidRPr="00EB22FC" w:rsidRDefault="00774742" w:rsidP="00EB22FC">
      <w:pPr>
        <w:jc w:val="both"/>
        <w:rPr>
          <w:rFonts w:ascii="Times New Roman" w:hAnsi="Times New Roman" w:cs="Times New Roman"/>
        </w:rPr>
      </w:pPr>
      <w:r w:rsidRPr="00EB22FC">
        <w:rPr>
          <w:rFonts w:ascii="Times New Roman" w:hAnsi="Times New Roman" w:cs="Times New Roman"/>
        </w:rPr>
        <w:t>2. Đối với tài sản cố định có thay đổi nguyên giá trước ngày 20/6/2023, đã xác định lại các chỉ tiêu nguyên giá, giá trị còn lại của tài sản cố định để điều chỉnh sổ kế toán và thực hiện kế toán theo quy định tại Khoản 2, Điều 10 Thông tư số 45/2018/TT-BTC thì từ năm tài chính 2023 căn cứ nguyên giá đã xác định lại và đã thực hiện kế toán, căn cứ tỷ lệ hao mòn tài sản cố định theo quy định tại Thông tư số 23/2023/TT-BTC để xác định mức hao mòn hàng năm của tài sản cố định.</w:t>
      </w:r>
    </w:p>
    <w:p w14:paraId="654C651F" w14:textId="4806AE8A" w:rsidR="00774742" w:rsidRPr="00EB22FC" w:rsidRDefault="00774742" w:rsidP="00EB22FC">
      <w:pPr>
        <w:jc w:val="both"/>
        <w:rPr>
          <w:rFonts w:ascii="Times New Roman" w:hAnsi="Times New Roman" w:cs="Times New Roman"/>
        </w:rPr>
      </w:pPr>
      <w:r w:rsidRPr="00EB22FC">
        <w:rPr>
          <w:rFonts w:ascii="Times New Roman" w:hAnsi="Times New Roman" w:cs="Times New Roman"/>
        </w:rPr>
        <w:t>3. Đối với tài sản cố định đã có quyết định giao, điều chuyển trước ngày Thông tư số 45/2018/TT-BTC có hiệu lực thi hành (ngày 02/7/2018) mà trước khi giao, điều chuyển tài sản đó chưa được theo dõi trên sổ kế toán hoặc khi thực hiện bàn giao, tiếp nhận chưa đánh giá lại giá trị tài sản thì cơ quan, tổ chức, đơn vị, doanh nghiệp tiếp nhận tài sản có trách nhiệm đánh giá lại giá trị tài sản theo quy định tại Khoản 3, Điều 6 Thông tư số 23/2023/TT-BTC để ghi sổ kế toán, xác định mức hao mòn hàng năm của tài sản theo quy định tại Khoản 2, Điều 14 Thông tư số 23/2023/TT-BTC để kế toán tài sản cố định từ năm tài chính 2023.</w:t>
      </w:r>
    </w:p>
    <w:p w14:paraId="6D675E0A" w14:textId="3F9FF9CD" w:rsidR="00774742" w:rsidRPr="00EB22FC" w:rsidRDefault="00774742" w:rsidP="00EB22FC">
      <w:pPr>
        <w:jc w:val="both"/>
        <w:rPr>
          <w:rFonts w:ascii="Times New Roman" w:hAnsi="Times New Roman" w:cs="Times New Roman"/>
        </w:rPr>
      </w:pPr>
      <w:r w:rsidRPr="00EB22FC">
        <w:rPr>
          <w:rFonts w:ascii="Times New Roman" w:hAnsi="Times New Roman" w:cs="Times New Roman"/>
        </w:rPr>
        <w:t>4. Trường hợp từ năm 2018 đến năm 2022, cơ quan, tổ chức, đơn vị, doanh nghiệp chưa thực hiện điều chỉnh giá trị quyền sử dụng đất theo quy định tại Điều 103 của Luật Quản lý, sử dụng tài sản cộng thì cơ quan, tổ chức, đơn vị, doanh nghiệp thực hiện điều chỉnh giá trị quyền sử dụng đất để hạch toán từ năm tài chính 2023. Thông tư số 23/2023/TT-BTC có hiệu lực thi hành kể từ ngày 10/6/2023 và được áp dụng từ năm tài chính 2023 và thay thế Thông tư số 45/2018/TT-BTC ngày 07/5/2018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27D3C8A5" w14:textId="091240C4" w:rsidR="003B139F" w:rsidRPr="00EB22FC" w:rsidRDefault="00774742" w:rsidP="00EB22FC">
      <w:pPr>
        <w:jc w:val="both"/>
        <w:rPr>
          <w:rFonts w:ascii="Times New Roman" w:hAnsi="Times New Roman" w:cs="Times New Roman"/>
        </w:rPr>
      </w:pPr>
      <w:r w:rsidRPr="00EB22FC">
        <w:rPr>
          <w:rFonts w:ascii="Times New Roman" w:hAnsi="Times New Roman" w:cs="Times New Roman"/>
        </w:rPr>
        <w:t>Chi tiết Thông tư số 23/2023/TT-BTC, vui lòng xem file đính kèm.</w:t>
      </w:r>
    </w:p>
    <w:sectPr w:rsidR="003B139F" w:rsidRPr="00EB2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42"/>
    <w:rsid w:val="003B139F"/>
    <w:rsid w:val="00774742"/>
    <w:rsid w:val="00EB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E867"/>
  <w15:chartTrackingRefBased/>
  <w15:docId w15:val="{9C4CADB1-C0E5-4586-BFEF-13FE6EBA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792</Words>
  <Characters>4516</Characters>
  <Application>Microsoft Office Word</Application>
  <DocSecurity>0</DocSecurity>
  <Lines>37</Lines>
  <Paragraphs>10</Paragraphs>
  <ScaleCrop>false</ScaleCrop>
  <Company>Microsoft</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Nhân Nguyễn</dc:creator>
  <cp:keywords/>
  <dc:description/>
  <cp:lastModifiedBy>Lê Nhân Nguyễn</cp:lastModifiedBy>
  <cp:revision>3</cp:revision>
  <dcterms:created xsi:type="dcterms:W3CDTF">2023-08-25T03:42:00Z</dcterms:created>
  <dcterms:modified xsi:type="dcterms:W3CDTF">2023-08-25T03:48:00Z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24f92164-26dd-474d-b434-f464050c8df7</vt:lpwstr>
  </property>
</Properties>
</file>