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BB1" w:rsidRDefault="004D0BB1" w:rsidP="004D0BB1">
      <w:pPr>
        <w:jc w:val="center"/>
        <w:rPr>
          <w:rFonts w:ascii="Times New Roman" w:hAnsi="Times New Roman"/>
          <w:b/>
          <w:lang w:val="vi-VN"/>
        </w:rPr>
      </w:pPr>
      <w:r w:rsidRPr="00BF7F22">
        <w:rPr>
          <w:rFonts w:ascii="Times New Roman" w:hAnsi="Times New Roman"/>
          <w:b/>
          <w:lang w:val="vi-VN"/>
        </w:rPr>
        <w:t>MỘT SỐ TRAO ĐỔI VỀ DỊCH VỤ ĐẢM BẢO</w:t>
      </w:r>
    </w:p>
    <w:p w:rsidR="004D0BB1" w:rsidRDefault="004D0BB1" w:rsidP="004D0BB1">
      <w:pPr>
        <w:tabs>
          <w:tab w:val="left" w:pos="426"/>
        </w:tabs>
        <w:spacing w:after="0" w:line="240" w:lineRule="auto"/>
        <w:jc w:val="center"/>
        <w:rPr>
          <w:rFonts w:ascii="Times New Roman" w:hAnsi="Times New Roman"/>
          <w:b/>
          <w:i/>
          <w:sz w:val="26"/>
          <w:szCs w:val="26"/>
          <w:lang w:val="vi-VN"/>
        </w:rPr>
      </w:pPr>
      <w:r w:rsidRPr="00B932F5">
        <w:rPr>
          <w:rFonts w:ascii="Times New Roman" w:hAnsi="Times New Roman"/>
          <w:b/>
          <w:i/>
          <w:sz w:val="26"/>
          <w:szCs w:val="26"/>
          <w:lang w:val="vi-VN"/>
        </w:rPr>
        <w:t xml:space="preserve">(Theo </w:t>
      </w:r>
      <w:r w:rsidRPr="00B932F5">
        <w:rPr>
          <w:rFonts w:ascii="Times New Roman" w:hAnsi="Times New Roman"/>
          <w:b/>
          <w:i/>
          <w:iCs/>
          <w:sz w:val="26"/>
          <w:szCs w:val="26"/>
          <w:lang w:val="vi-VN"/>
        </w:rPr>
        <w:t>TT</w:t>
      </w:r>
      <w:r w:rsidRPr="00B932F5">
        <w:rPr>
          <w:rFonts w:ascii="Times New Roman" w:hAnsi="Times New Roman"/>
          <w:b/>
          <w:i/>
          <w:iCs/>
          <w:sz w:val="26"/>
          <w:szCs w:val="26"/>
          <w:lang w:val="nl-NL"/>
        </w:rPr>
        <w:t xml:space="preserve"> 69/2015/TT-BTC</w:t>
      </w:r>
      <w:r w:rsidRPr="00B932F5">
        <w:rPr>
          <w:rFonts w:ascii="Times New Roman" w:hAnsi="Times New Roman"/>
          <w:b/>
          <w:i/>
          <w:iCs/>
          <w:sz w:val="26"/>
          <w:szCs w:val="26"/>
          <w:lang w:val="vi-VN"/>
        </w:rPr>
        <w:t xml:space="preserve">- </w:t>
      </w:r>
      <w:r w:rsidRPr="00B932F5">
        <w:rPr>
          <w:rFonts w:ascii="Times New Roman" w:hAnsi="Times New Roman"/>
          <w:b/>
          <w:i/>
          <w:sz w:val="26"/>
          <w:szCs w:val="26"/>
          <w:lang w:val="vi-VN"/>
        </w:rPr>
        <w:t>Ban hành khuôn khổ Việt Nam về dịch vụ đảm bảo)</w:t>
      </w:r>
    </w:p>
    <w:p w:rsidR="004D0BB1" w:rsidRDefault="004D0BB1" w:rsidP="004D0BB1">
      <w:pPr>
        <w:tabs>
          <w:tab w:val="left" w:pos="426"/>
        </w:tabs>
        <w:spacing w:after="0" w:line="240" w:lineRule="auto"/>
        <w:jc w:val="center"/>
        <w:rPr>
          <w:rFonts w:ascii="Times New Roman" w:hAnsi="Times New Roman"/>
          <w:b/>
          <w:sz w:val="26"/>
          <w:szCs w:val="26"/>
          <w:lang w:val="vi-VN"/>
        </w:rPr>
      </w:pPr>
    </w:p>
    <w:p w:rsidR="004D0BB1" w:rsidRPr="00B932F5" w:rsidRDefault="004D0BB1" w:rsidP="004D0BB1">
      <w:pPr>
        <w:tabs>
          <w:tab w:val="left" w:pos="426"/>
        </w:tabs>
        <w:spacing w:after="0" w:line="240" w:lineRule="auto"/>
        <w:jc w:val="right"/>
        <w:rPr>
          <w:rFonts w:ascii="Times New Roman" w:hAnsi="Times New Roman"/>
          <w:b/>
          <w:sz w:val="26"/>
          <w:szCs w:val="26"/>
          <w:lang w:val="vi-VN"/>
        </w:rPr>
      </w:pPr>
      <w:r w:rsidRPr="00B932F5">
        <w:rPr>
          <w:rFonts w:ascii="Times New Roman" w:hAnsi="Times New Roman"/>
          <w:b/>
          <w:sz w:val="26"/>
          <w:szCs w:val="26"/>
          <w:lang w:val="vi-VN"/>
        </w:rPr>
        <w:t>Nguyễn Thị Quỳnh Giao</w:t>
      </w:r>
    </w:p>
    <w:p w:rsidR="004D0BB1" w:rsidRPr="00F326FA" w:rsidRDefault="004D0BB1" w:rsidP="004D0BB1">
      <w:pPr>
        <w:tabs>
          <w:tab w:val="left" w:pos="426"/>
        </w:tabs>
        <w:spacing w:after="0" w:line="360" w:lineRule="auto"/>
        <w:ind w:left="426" w:hanging="426"/>
        <w:rPr>
          <w:rFonts w:ascii="Times New Roman" w:hAnsi="Times New Roman"/>
          <w:i/>
          <w:iCs/>
          <w:sz w:val="26"/>
          <w:szCs w:val="26"/>
          <w:lang w:val="vi-VN"/>
        </w:rPr>
      </w:pPr>
      <w:r w:rsidRPr="004305BF">
        <w:rPr>
          <w:rFonts w:ascii="Times New Roman" w:hAnsi="Times New Roman"/>
          <w:i/>
          <w:iCs/>
          <w:sz w:val="26"/>
          <w:szCs w:val="26"/>
          <w:lang w:val="nl-NL"/>
        </w:rPr>
        <w:t xml:space="preserve">Thông tư số </w:t>
      </w:r>
      <w:r>
        <w:rPr>
          <w:rFonts w:ascii="Times New Roman" w:hAnsi="Times New Roman"/>
          <w:i/>
          <w:iCs/>
          <w:sz w:val="26"/>
          <w:szCs w:val="26"/>
          <w:lang w:val="nl-NL"/>
        </w:rPr>
        <w:t>69</w:t>
      </w:r>
      <w:r w:rsidRPr="004305BF">
        <w:rPr>
          <w:rFonts w:ascii="Times New Roman" w:hAnsi="Times New Roman"/>
          <w:i/>
          <w:iCs/>
          <w:sz w:val="26"/>
          <w:szCs w:val="26"/>
          <w:lang w:val="nl-NL"/>
        </w:rPr>
        <w:t>/2015/TT-BTC ngày</w:t>
      </w:r>
      <w:r>
        <w:rPr>
          <w:rFonts w:ascii="Times New Roman" w:hAnsi="Times New Roman"/>
          <w:i/>
          <w:iCs/>
          <w:sz w:val="26"/>
          <w:szCs w:val="26"/>
          <w:lang w:val="nl-NL"/>
        </w:rPr>
        <w:t xml:space="preserve"> 08 </w:t>
      </w:r>
      <w:r w:rsidRPr="004305BF">
        <w:rPr>
          <w:rFonts w:ascii="Times New Roman" w:hAnsi="Times New Roman"/>
          <w:i/>
          <w:iCs/>
          <w:sz w:val="26"/>
          <w:szCs w:val="26"/>
          <w:lang w:val="nl-NL"/>
        </w:rPr>
        <w:t>tháng</w:t>
      </w:r>
      <w:r>
        <w:rPr>
          <w:rFonts w:ascii="Times New Roman" w:hAnsi="Times New Roman"/>
          <w:i/>
          <w:iCs/>
          <w:sz w:val="26"/>
          <w:szCs w:val="26"/>
          <w:lang w:val="nl-NL"/>
        </w:rPr>
        <w:t xml:space="preserve"> 05 </w:t>
      </w:r>
      <w:r w:rsidRPr="004305BF">
        <w:rPr>
          <w:rFonts w:ascii="Times New Roman" w:hAnsi="Times New Roman"/>
          <w:i/>
          <w:iCs/>
          <w:sz w:val="26"/>
          <w:szCs w:val="26"/>
          <w:lang w:val="nl-NL"/>
        </w:rPr>
        <w:t>năm 2015 của Bộ Tài chính</w:t>
      </w:r>
      <w:r>
        <w:rPr>
          <w:rFonts w:ascii="Times New Roman" w:hAnsi="Times New Roman"/>
          <w:i/>
          <w:iCs/>
          <w:sz w:val="26"/>
          <w:szCs w:val="26"/>
          <w:lang w:val="vi-VN"/>
        </w:rPr>
        <w:t xml:space="preserve"> ban hành</w:t>
      </w:r>
    </w:p>
    <w:p w:rsidR="004D0BB1" w:rsidRDefault="004D0BB1" w:rsidP="004D0BB1">
      <w:pPr>
        <w:spacing w:after="0" w:line="360" w:lineRule="auto"/>
        <w:jc w:val="both"/>
        <w:rPr>
          <w:rFonts w:ascii="Times New Roman" w:hAnsi="Times New Roman"/>
          <w:i/>
          <w:iCs/>
          <w:sz w:val="26"/>
          <w:szCs w:val="26"/>
          <w:lang w:val="vi-VN"/>
        </w:rPr>
      </w:pPr>
      <w:r>
        <w:rPr>
          <w:rFonts w:ascii="Times New Roman" w:hAnsi="Times New Roman"/>
          <w:i/>
          <w:iCs/>
          <w:sz w:val="26"/>
          <w:szCs w:val="26"/>
          <w:lang w:val="vi-VN"/>
        </w:rPr>
        <w:t>Khuôn khổ Việt Nam về dịch vụ đảm bảocó hiệu lực 1/1/2016.</w:t>
      </w:r>
    </w:p>
    <w:p w:rsidR="004D0BB1" w:rsidRDefault="004D0BB1" w:rsidP="004D0BB1">
      <w:pPr>
        <w:spacing w:after="0" w:line="360" w:lineRule="auto"/>
        <w:jc w:val="both"/>
        <w:rPr>
          <w:rFonts w:ascii="Times New Roman" w:hAnsi="Times New Roman"/>
          <w:i/>
          <w:iCs/>
          <w:sz w:val="26"/>
          <w:szCs w:val="26"/>
          <w:lang w:val="vi-VN"/>
        </w:rPr>
      </w:pPr>
      <w:r>
        <w:rPr>
          <w:rFonts w:ascii="Times New Roman" w:hAnsi="Times New Roman"/>
          <w:i/>
          <w:iCs/>
          <w:sz w:val="26"/>
          <w:szCs w:val="26"/>
          <w:lang w:val="vi-VN"/>
        </w:rPr>
        <w:t>Thông tư trình bày cụ thể về:</w:t>
      </w:r>
    </w:p>
    <w:p w:rsidR="004D0BB1" w:rsidRDefault="004D0BB1" w:rsidP="004D0BB1">
      <w:pPr>
        <w:pStyle w:val="ListParagraph"/>
        <w:numPr>
          <w:ilvl w:val="0"/>
          <w:numId w:val="3"/>
        </w:numPr>
        <w:spacing w:after="0" w:line="360" w:lineRule="auto"/>
        <w:jc w:val="both"/>
        <w:rPr>
          <w:rFonts w:ascii="Times New Roman" w:hAnsi="Times New Roman"/>
          <w:i/>
          <w:iCs/>
          <w:sz w:val="26"/>
          <w:szCs w:val="26"/>
          <w:lang w:val="vi-VN"/>
        </w:rPr>
      </w:pPr>
      <w:r w:rsidRPr="00F326FA">
        <w:rPr>
          <w:rFonts w:ascii="Times New Roman" w:hAnsi="Times New Roman"/>
          <w:i/>
          <w:iCs/>
          <w:sz w:val="26"/>
          <w:szCs w:val="26"/>
          <w:lang w:val="vi-VN"/>
        </w:rPr>
        <w:t xml:space="preserve">Đối tượng áp dụng </w:t>
      </w:r>
      <w:r>
        <w:rPr>
          <w:rFonts w:ascii="Times New Roman" w:hAnsi="Times New Roman"/>
          <w:i/>
          <w:iCs/>
          <w:sz w:val="26"/>
          <w:szCs w:val="26"/>
          <w:lang w:val="vi-VN"/>
        </w:rPr>
        <w:t>khuôn khổ dịch vụ đảm bảo</w:t>
      </w:r>
    </w:p>
    <w:p w:rsidR="004D0BB1" w:rsidRDefault="004D0BB1" w:rsidP="004D0BB1">
      <w:pPr>
        <w:pStyle w:val="ListParagraph"/>
        <w:numPr>
          <w:ilvl w:val="0"/>
          <w:numId w:val="3"/>
        </w:numPr>
        <w:spacing w:after="0" w:line="360" w:lineRule="auto"/>
        <w:jc w:val="both"/>
        <w:rPr>
          <w:rFonts w:ascii="Times New Roman" w:hAnsi="Times New Roman"/>
          <w:b/>
          <w:i/>
          <w:iCs/>
          <w:sz w:val="26"/>
          <w:szCs w:val="26"/>
          <w:lang w:val="vi-VN"/>
        </w:rPr>
      </w:pPr>
      <w:r w:rsidRPr="00F326FA">
        <w:rPr>
          <w:rFonts w:ascii="Times New Roman" w:hAnsi="Times New Roman"/>
          <w:b/>
          <w:i/>
          <w:iCs/>
          <w:sz w:val="26"/>
          <w:szCs w:val="26"/>
          <w:lang w:val="vi-VN"/>
        </w:rPr>
        <w:t>Phân biệt các loại hình dịch vụ đảm bảo</w:t>
      </w:r>
      <w:bookmarkStart w:id="0" w:name="_GoBack"/>
      <w:bookmarkEnd w:id="0"/>
    </w:p>
    <w:p w:rsidR="004D0BB1" w:rsidRDefault="004D0BB1" w:rsidP="004D0BB1">
      <w:pPr>
        <w:pStyle w:val="ListParagraph"/>
        <w:numPr>
          <w:ilvl w:val="0"/>
          <w:numId w:val="3"/>
        </w:numPr>
        <w:spacing w:after="0" w:line="360" w:lineRule="auto"/>
        <w:jc w:val="both"/>
        <w:rPr>
          <w:rFonts w:ascii="Times New Roman" w:hAnsi="Times New Roman"/>
          <w:i/>
          <w:iCs/>
          <w:sz w:val="26"/>
          <w:szCs w:val="26"/>
          <w:lang w:val="vi-VN"/>
        </w:rPr>
      </w:pPr>
      <w:r w:rsidRPr="00F326FA">
        <w:rPr>
          <w:rFonts w:ascii="Times New Roman" w:hAnsi="Times New Roman"/>
          <w:i/>
          <w:iCs/>
          <w:sz w:val="26"/>
          <w:szCs w:val="26"/>
          <w:lang w:val="vi-VN"/>
        </w:rPr>
        <w:t>Sự khác biệt của dịch vụ đảm bảo so với dịch vụ khác</w:t>
      </w:r>
    </w:p>
    <w:p w:rsidR="004D0BB1" w:rsidRDefault="004D0BB1" w:rsidP="004D0BB1">
      <w:pPr>
        <w:pStyle w:val="ListParagraph"/>
        <w:numPr>
          <w:ilvl w:val="0"/>
          <w:numId w:val="3"/>
        </w:numPr>
        <w:spacing w:after="0" w:line="360" w:lineRule="auto"/>
        <w:jc w:val="both"/>
        <w:rPr>
          <w:rFonts w:ascii="Times New Roman" w:hAnsi="Times New Roman"/>
          <w:i/>
          <w:iCs/>
          <w:sz w:val="26"/>
          <w:szCs w:val="26"/>
          <w:lang w:val="vi-VN"/>
        </w:rPr>
      </w:pPr>
      <w:r>
        <w:rPr>
          <w:rFonts w:ascii="Times New Roman" w:hAnsi="Times New Roman"/>
          <w:i/>
          <w:iCs/>
          <w:sz w:val="26"/>
          <w:szCs w:val="26"/>
          <w:lang w:val="vi-VN"/>
        </w:rPr>
        <w:t>Điều kiện chấp nhận hợp đồng dịch vụ đảm bảo</w:t>
      </w:r>
    </w:p>
    <w:p w:rsidR="004D0BB1" w:rsidRDefault="004D0BB1" w:rsidP="004D0BB1">
      <w:pPr>
        <w:pStyle w:val="ListParagraph"/>
        <w:numPr>
          <w:ilvl w:val="0"/>
          <w:numId w:val="3"/>
        </w:numPr>
        <w:spacing w:after="0" w:line="360" w:lineRule="auto"/>
        <w:jc w:val="both"/>
        <w:rPr>
          <w:rFonts w:ascii="Times New Roman" w:hAnsi="Times New Roman"/>
          <w:i/>
          <w:iCs/>
          <w:sz w:val="26"/>
          <w:szCs w:val="26"/>
          <w:lang w:val="vi-VN"/>
        </w:rPr>
      </w:pPr>
      <w:r>
        <w:rPr>
          <w:rFonts w:ascii="Times New Roman" w:hAnsi="Times New Roman"/>
          <w:i/>
          <w:iCs/>
          <w:sz w:val="26"/>
          <w:szCs w:val="26"/>
          <w:lang w:val="vi-VN"/>
        </w:rPr>
        <w:t>Các yếu tố của hợp đồng dịch vụ đảm bảo...</w:t>
      </w:r>
    </w:p>
    <w:p w:rsidR="004D0BB1" w:rsidRDefault="004D0BB1" w:rsidP="004D0BB1">
      <w:pPr>
        <w:tabs>
          <w:tab w:val="left" w:pos="426"/>
        </w:tabs>
        <w:spacing w:after="0" w:line="360" w:lineRule="auto"/>
        <w:rPr>
          <w:rFonts w:ascii="Times New Roman" w:hAnsi="Times New Roman"/>
          <w:b/>
          <w:sz w:val="26"/>
          <w:szCs w:val="26"/>
          <w:lang w:val="vi-VN"/>
        </w:rPr>
      </w:pPr>
      <w:r>
        <w:rPr>
          <w:rFonts w:ascii="Times New Roman" w:hAnsi="Times New Roman"/>
          <w:b/>
          <w:sz w:val="26"/>
          <w:szCs w:val="26"/>
          <w:lang w:val="vi-VN"/>
        </w:rPr>
        <w:t xml:space="preserve">Bài viết này tác giả tập trung trao đổi về các loại hình dịch vụ đảm bảo </w:t>
      </w:r>
    </w:p>
    <w:p w:rsidR="004D0BB1" w:rsidRDefault="004D0BB1" w:rsidP="004D0BB1">
      <w:pPr>
        <w:tabs>
          <w:tab w:val="left" w:pos="426"/>
        </w:tabs>
        <w:spacing w:after="0" w:line="360" w:lineRule="auto"/>
        <w:ind w:left="426"/>
        <w:jc w:val="both"/>
        <w:rPr>
          <w:rFonts w:ascii="Times New Roman" w:hAnsi="Times New Roman"/>
          <w:i/>
          <w:sz w:val="26"/>
          <w:szCs w:val="26"/>
          <w:lang w:val="vi-VN"/>
        </w:rPr>
      </w:pPr>
      <w:r w:rsidRPr="001F63C6">
        <w:rPr>
          <w:rFonts w:ascii="Times New Roman" w:hAnsi="Times New Roman"/>
          <w:i/>
          <w:sz w:val="26"/>
          <w:szCs w:val="26"/>
        </w:rPr>
        <w:t>Dịch vụ đảm bảo là dịch vụ mà kiểm toán viên thu thập đầy đủ bằng chứng thích hợp để đưa ra kết luận nhằm tăng mức độ tin cậy của đối tượng sử dụng, không chỉ là bên chịu trách nhiệm, về kết quả đo lường hoặc đánh giá dựa trên các tiêu chí đối với đối tượng dịch vụ đảm bảo.</w:t>
      </w:r>
    </w:p>
    <w:p w:rsidR="004D0BB1" w:rsidRPr="001F63C6" w:rsidRDefault="004D0BB1" w:rsidP="004D0BB1">
      <w:pPr>
        <w:tabs>
          <w:tab w:val="left" w:pos="426"/>
          <w:tab w:val="left" w:pos="490"/>
        </w:tabs>
        <w:spacing w:after="0" w:line="360" w:lineRule="auto"/>
        <w:ind w:left="426"/>
        <w:jc w:val="both"/>
        <w:rPr>
          <w:rFonts w:ascii="Times New Roman" w:eastAsia="Times New Roman" w:hAnsi="Times New Roman"/>
          <w:sz w:val="26"/>
          <w:szCs w:val="26"/>
        </w:rPr>
      </w:pPr>
      <w:r w:rsidRPr="001F63C6">
        <w:rPr>
          <w:rFonts w:ascii="Times New Roman" w:eastAsia="Times New Roman" w:hAnsi="Times New Roman"/>
          <w:sz w:val="26"/>
          <w:szCs w:val="26"/>
        </w:rPr>
        <w:t xml:space="preserve">Kết quả đo lường hoặc đánh giá một đối tượng dịch vụ đảm bảo là các thông tin </w:t>
      </w:r>
      <w:proofErr w:type="gramStart"/>
      <w:r w:rsidRPr="001F63C6">
        <w:rPr>
          <w:rFonts w:ascii="Times New Roman" w:eastAsia="Times New Roman" w:hAnsi="Times New Roman"/>
          <w:sz w:val="26"/>
          <w:szCs w:val="26"/>
        </w:rPr>
        <w:t>thu</w:t>
      </w:r>
      <w:proofErr w:type="gramEnd"/>
      <w:r w:rsidRPr="001F63C6">
        <w:rPr>
          <w:rFonts w:ascii="Times New Roman" w:eastAsia="Times New Roman" w:hAnsi="Times New Roman"/>
          <w:sz w:val="26"/>
          <w:szCs w:val="26"/>
        </w:rPr>
        <w:t xml:space="preserve"> được từ việc áp dụng các tiêu chí đối với đối tượng dịch vụ đảm bảo. Ví dụ: </w:t>
      </w:r>
    </w:p>
    <w:p w:rsidR="004D0BB1" w:rsidRPr="001F63C6" w:rsidRDefault="004D0BB1" w:rsidP="004D0BB1">
      <w:pPr>
        <w:numPr>
          <w:ilvl w:val="0"/>
          <w:numId w:val="4"/>
        </w:numPr>
        <w:spacing w:after="0" w:line="360" w:lineRule="auto"/>
        <w:ind w:left="851" w:hanging="425"/>
        <w:jc w:val="both"/>
        <w:rPr>
          <w:rFonts w:ascii="Times New Roman" w:eastAsia="Times New Roman" w:hAnsi="Times New Roman"/>
          <w:sz w:val="26"/>
          <w:szCs w:val="26"/>
        </w:rPr>
      </w:pPr>
      <w:r w:rsidRPr="001F63C6">
        <w:rPr>
          <w:rFonts w:ascii="Times New Roman" w:eastAsia="Times New Roman" w:hAnsi="Times New Roman"/>
          <w:sz w:val="26"/>
          <w:szCs w:val="26"/>
        </w:rPr>
        <w:t xml:space="preserve">Báo cáo tài chính (kết quả) là kết quả của việc đo lường tình hình tài chính, tình hình hoạt động và dòng tiền của một đơn vị (đối tượng dịch vụ đảm bảo) bằng cách áp dụng một khuôn khổ </w:t>
      </w:r>
      <w:r w:rsidRPr="001F63C6">
        <w:rPr>
          <w:rFonts w:ascii="Times New Roman" w:eastAsia="Times New Roman" w:hAnsi="Times New Roman"/>
          <w:i/>
          <w:sz w:val="26"/>
          <w:szCs w:val="26"/>
        </w:rPr>
        <w:t>về lập và trình bày</w:t>
      </w:r>
      <w:r w:rsidRPr="001F63C6">
        <w:rPr>
          <w:rFonts w:ascii="Times New Roman" w:eastAsia="Times New Roman" w:hAnsi="Times New Roman"/>
          <w:sz w:val="26"/>
          <w:szCs w:val="26"/>
        </w:rPr>
        <w:t xml:space="preserve"> báo cáo tài chính (tiêu chí);</w:t>
      </w:r>
    </w:p>
    <w:p w:rsidR="004D0BB1" w:rsidRPr="001F63C6" w:rsidRDefault="004D0BB1" w:rsidP="004D0BB1">
      <w:pPr>
        <w:numPr>
          <w:ilvl w:val="0"/>
          <w:numId w:val="4"/>
        </w:numPr>
        <w:spacing w:after="0" w:line="360" w:lineRule="auto"/>
        <w:ind w:left="851" w:hanging="425"/>
        <w:jc w:val="both"/>
        <w:rPr>
          <w:rFonts w:ascii="Times New Roman" w:eastAsia="Times New Roman" w:hAnsi="Times New Roman"/>
          <w:sz w:val="26"/>
          <w:szCs w:val="26"/>
        </w:rPr>
      </w:pPr>
      <w:r w:rsidRPr="001F63C6">
        <w:rPr>
          <w:rFonts w:ascii="Times New Roman" w:eastAsia="Times New Roman" w:hAnsi="Times New Roman"/>
          <w:sz w:val="26"/>
          <w:szCs w:val="26"/>
        </w:rPr>
        <w:t>Báo cáo về tính hiệu quả của kiểm soát nội bộ (kết quả) là kết quả của việc đánh giá tính hiệu quả của quy trình kiểm soát nội bộ của một đơn vị (đối tượng dịch vụ đảm bảo) bằng cách áp dụng các tiêu chí có liên quan;</w:t>
      </w:r>
    </w:p>
    <w:p w:rsidR="004D0BB1" w:rsidRPr="001F63C6" w:rsidRDefault="004D0BB1" w:rsidP="004D0BB1">
      <w:pPr>
        <w:numPr>
          <w:ilvl w:val="0"/>
          <w:numId w:val="4"/>
        </w:numPr>
        <w:spacing w:after="0" w:line="360" w:lineRule="auto"/>
        <w:ind w:left="851" w:hanging="425"/>
        <w:jc w:val="both"/>
        <w:rPr>
          <w:rFonts w:ascii="Times New Roman" w:eastAsia="Times New Roman" w:hAnsi="Times New Roman"/>
          <w:sz w:val="26"/>
          <w:szCs w:val="26"/>
        </w:rPr>
      </w:pPr>
      <w:r w:rsidRPr="001F63C6">
        <w:rPr>
          <w:rFonts w:ascii="Times New Roman" w:eastAsia="Times New Roman" w:hAnsi="Times New Roman"/>
          <w:sz w:val="26"/>
          <w:szCs w:val="26"/>
        </w:rPr>
        <w:t>Báo cáo về hoạt động cụ thể của một đơn vị (kết quả) là kết quả của việc đo lường các khía cạnh của hoạt động đó (đối tượng dịch vụ đảm bảo), bằng cách áp dụng các phương thức đo lường có liên quan (tiêu chí);</w:t>
      </w:r>
    </w:p>
    <w:p w:rsidR="004D0BB1" w:rsidRPr="001F63C6" w:rsidRDefault="004D0BB1" w:rsidP="004D0BB1">
      <w:pPr>
        <w:numPr>
          <w:ilvl w:val="0"/>
          <w:numId w:val="4"/>
        </w:numPr>
        <w:spacing w:after="0" w:line="360" w:lineRule="auto"/>
        <w:ind w:left="851" w:hanging="425"/>
        <w:jc w:val="both"/>
        <w:rPr>
          <w:rFonts w:ascii="Times New Roman" w:eastAsia="Times New Roman" w:hAnsi="Times New Roman"/>
          <w:sz w:val="26"/>
          <w:szCs w:val="26"/>
        </w:rPr>
      </w:pPr>
      <w:r w:rsidRPr="001F63C6">
        <w:rPr>
          <w:rFonts w:ascii="Times New Roman" w:eastAsia="Times New Roman" w:hAnsi="Times New Roman"/>
          <w:sz w:val="26"/>
          <w:szCs w:val="26"/>
        </w:rPr>
        <w:lastRenderedPageBreak/>
        <w:t>Báo cáo khí thải nhà kính (kết quả) là kết quả của việc đo lường mức độ xả khí thải nhà kính của một đơn vị (đối tượng dịch vụ đảm bảo) bằng cách áp dụng các nguyên tắc về ghi nhận, đo lường và trình bày (tiêu chí);</w:t>
      </w:r>
    </w:p>
    <w:p w:rsidR="004D0BB1" w:rsidRPr="001F63C6" w:rsidRDefault="004D0BB1" w:rsidP="004D0BB1">
      <w:pPr>
        <w:numPr>
          <w:ilvl w:val="0"/>
          <w:numId w:val="4"/>
        </w:numPr>
        <w:spacing w:after="0" w:line="360" w:lineRule="auto"/>
        <w:ind w:left="851" w:hanging="425"/>
        <w:jc w:val="both"/>
        <w:rPr>
          <w:rFonts w:ascii="Arial" w:eastAsia="Times New Roman" w:hAnsi="Arial"/>
        </w:rPr>
      </w:pPr>
      <w:r w:rsidRPr="001F63C6">
        <w:rPr>
          <w:rFonts w:ascii="Times New Roman" w:eastAsia="Times New Roman" w:hAnsi="Times New Roman"/>
          <w:sz w:val="26"/>
          <w:szCs w:val="26"/>
        </w:rPr>
        <w:t>Báo cáo về tính tuân thủ (kết quả) là kết quả của việc đánh giá tính tuân thủ của một đơn vị (đối tượng dịch vụ đảm bảo) với một tiêu chí, ví dụ pháp luật và các quy định khác có liên quan (tiêu chí</w:t>
      </w:r>
    </w:p>
    <w:p w:rsidR="004D0BB1" w:rsidRPr="001F63C6" w:rsidRDefault="004D0BB1" w:rsidP="004D0BB1">
      <w:pPr>
        <w:pStyle w:val="ListParagraph"/>
        <w:numPr>
          <w:ilvl w:val="0"/>
          <w:numId w:val="6"/>
        </w:numPr>
        <w:tabs>
          <w:tab w:val="left" w:pos="426"/>
          <w:tab w:val="left" w:pos="490"/>
        </w:tabs>
        <w:spacing w:after="0" w:line="360" w:lineRule="auto"/>
        <w:jc w:val="both"/>
        <w:rPr>
          <w:rFonts w:ascii="Times New Roman" w:eastAsia="Times New Roman" w:hAnsi="Times New Roman"/>
          <w:sz w:val="26"/>
          <w:szCs w:val="26"/>
        </w:rPr>
      </w:pPr>
      <w:r w:rsidRPr="000760B3">
        <w:rPr>
          <w:rFonts w:ascii="Times New Roman" w:eastAsia="Times New Roman" w:hAnsi="Times New Roman"/>
          <w:b/>
          <w:i/>
          <w:sz w:val="26"/>
          <w:szCs w:val="26"/>
        </w:rPr>
        <w:t>Không phải tất cả các dịch vụ do kiểm toán viên thực hiện đều là dịch vụ đảm bảo</w:t>
      </w:r>
      <w:r w:rsidRPr="001F63C6">
        <w:rPr>
          <w:rFonts w:ascii="Times New Roman" w:eastAsia="Times New Roman" w:hAnsi="Times New Roman"/>
          <w:sz w:val="26"/>
          <w:szCs w:val="26"/>
        </w:rPr>
        <w:t xml:space="preserve">. Một số dịch vụ thường được thực hiện nhưng </w:t>
      </w:r>
      <w:r w:rsidRPr="000760B3">
        <w:rPr>
          <w:rFonts w:ascii="Times New Roman" w:eastAsia="Times New Roman" w:hAnsi="Times New Roman"/>
          <w:i/>
          <w:sz w:val="26"/>
          <w:szCs w:val="26"/>
        </w:rPr>
        <w:t xml:space="preserve">không phù hợp với định </w:t>
      </w:r>
      <w:proofErr w:type="gramStart"/>
      <w:r w:rsidRPr="000760B3">
        <w:rPr>
          <w:rFonts w:ascii="Times New Roman" w:eastAsia="Times New Roman" w:hAnsi="Times New Roman"/>
          <w:i/>
          <w:sz w:val="26"/>
          <w:szCs w:val="26"/>
        </w:rPr>
        <w:t xml:space="preserve">nghĩa </w:t>
      </w:r>
      <w:r>
        <w:rPr>
          <w:rFonts w:ascii="Times New Roman" w:eastAsia="Times New Roman" w:hAnsi="Times New Roman"/>
          <w:sz w:val="26"/>
          <w:szCs w:val="26"/>
        </w:rPr>
        <w:t xml:space="preserve"> trê</w:t>
      </w:r>
      <w:r>
        <w:rPr>
          <w:rFonts w:ascii="Times New Roman" w:eastAsia="Times New Roman" w:hAnsi="Times New Roman"/>
          <w:sz w:val="26"/>
          <w:szCs w:val="26"/>
          <w:lang w:val="vi-VN"/>
        </w:rPr>
        <w:t>n</w:t>
      </w:r>
      <w:proofErr w:type="gramEnd"/>
      <w:r>
        <w:rPr>
          <w:rFonts w:ascii="Times New Roman" w:eastAsia="Times New Roman" w:hAnsi="Times New Roman"/>
          <w:sz w:val="26"/>
          <w:szCs w:val="26"/>
          <w:lang w:val="vi-VN"/>
        </w:rPr>
        <w:t xml:space="preserve"> không được coi là dịch vụ đảm bảo.</w:t>
      </w:r>
    </w:p>
    <w:p w:rsidR="004D0BB1" w:rsidRPr="001F63C6" w:rsidRDefault="004D0BB1" w:rsidP="004D0BB1">
      <w:pPr>
        <w:numPr>
          <w:ilvl w:val="0"/>
          <w:numId w:val="5"/>
        </w:numPr>
        <w:spacing w:after="0" w:line="360" w:lineRule="auto"/>
        <w:ind w:left="851" w:hanging="425"/>
        <w:jc w:val="both"/>
        <w:rPr>
          <w:rFonts w:ascii="Times New Roman" w:eastAsia="Times New Roman" w:hAnsi="Times New Roman"/>
          <w:sz w:val="26"/>
          <w:szCs w:val="26"/>
        </w:rPr>
      </w:pPr>
      <w:r w:rsidRPr="001F63C6">
        <w:rPr>
          <w:rFonts w:ascii="Times New Roman" w:eastAsia="Times New Roman" w:hAnsi="Times New Roman"/>
          <w:sz w:val="26"/>
          <w:szCs w:val="26"/>
        </w:rPr>
        <w:t>Các dịch vụ theo quy định của chuẩn mực Việt Nam về dịch vụ liên quan (VSRS), như dịch vụ "Hợp đồng thực hiện các thủ tục thỏa thuận trước đối với thông tin tài chính" (VSRS 4400) và "Dịch vụ tổng hợp thông tin tài chính" (VSRS 4410);</w:t>
      </w:r>
    </w:p>
    <w:p w:rsidR="004D0BB1" w:rsidRPr="001F63C6" w:rsidRDefault="004D0BB1" w:rsidP="004D0BB1">
      <w:pPr>
        <w:numPr>
          <w:ilvl w:val="0"/>
          <w:numId w:val="5"/>
        </w:numPr>
        <w:spacing w:after="0" w:line="360" w:lineRule="auto"/>
        <w:ind w:left="851" w:hanging="425"/>
        <w:jc w:val="both"/>
        <w:rPr>
          <w:rFonts w:ascii="Times New Roman" w:eastAsia="Times New Roman" w:hAnsi="Times New Roman"/>
          <w:sz w:val="26"/>
          <w:szCs w:val="26"/>
        </w:rPr>
      </w:pPr>
      <w:r w:rsidRPr="001F63C6">
        <w:rPr>
          <w:rFonts w:ascii="Times New Roman" w:eastAsia="Times New Roman" w:hAnsi="Times New Roman"/>
          <w:sz w:val="26"/>
          <w:szCs w:val="26"/>
        </w:rPr>
        <w:t>Dịch vụ lập tờ khai thuế mà không đưa ra kết luận về sự đảm bảo;</w:t>
      </w:r>
    </w:p>
    <w:p w:rsidR="004D0BB1" w:rsidRPr="001F63C6" w:rsidRDefault="004D0BB1" w:rsidP="004D0BB1">
      <w:pPr>
        <w:numPr>
          <w:ilvl w:val="0"/>
          <w:numId w:val="5"/>
        </w:numPr>
        <w:spacing w:after="0" w:line="360" w:lineRule="auto"/>
        <w:ind w:left="851" w:hanging="425"/>
        <w:jc w:val="both"/>
        <w:rPr>
          <w:rFonts w:ascii="Times New Roman" w:eastAsia="Times New Roman" w:hAnsi="Times New Roman"/>
          <w:sz w:val="26"/>
          <w:szCs w:val="26"/>
        </w:rPr>
      </w:pPr>
      <w:r w:rsidRPr="001F63C6">
        <w:rPr>
          <w:rFonts w:ascii="Times New Roman" w:eastAsia="Times New Roman" w:hAnsi="Times New Roman"/>
          <w:sz w:val="26"/>
          <w:szCs w:val="26"/>
        </w:rPr>
        <w:t xml:space="preserve">Dịch vụ tư vấn, như dịch vụ tư vấn quản trị hoặc tư vấn thuế. </w:t>
      </w:r>
    </w:p>
    <w:p w:rsidR="004D0BB1" w:rsidRDefault="004D0BB1" w:rsidP="004D0BB1">
      <w:pPr>
        <w:tabs>
          <w:tab w:val="left" w:pos="426"/>
          <w:tab w:val="num" w:pos="1620"/>
        </w:tabs>
        <w:spacing w:after="0" w:line="360" w:lineRule="auto"/>
        <w:ind w:left="432" w:hanging="432"/>
        <w:jc w:val="both"/>
        <w:rPr>
          <w:rFonts w:ascii="Times New Roman" w:eastAsia="Times New Roman" w:hAnsi="Times New Roman"/>
          <w:sz w:val="26"/>
          <w:szCs w:val="26"/>
          <w:lang w:val="vi-VN"/>
        </w:rPr>
      </w:pPr>
      <w:r w:rsidRPr="001F63C6">
        <w:rPr>
          <w:rFonts w:ascii="Times New Roman" w:eastAsia="Times New Roman" w:hAnsi="Times New Roman"/>
          <w:sz w:val="26"/>
          <w:szCs w:val="26"/>
        </w:rPr>
        <w:tab/>
      </w:r>
      <w:proofErr w:type="gramStart"/>
      <w:r w:rsidRPr="001F63C6">
        <w:rPr>
          <w:rFonts w:ascii="Times New Roman" w:eastAsia="Times New Roman" w:hAnsi="Times New Roman"/>
          <w:sz w:val="26"/>
          <w:szCs w:val="26"/>
        </w:rPr>
        <w:t>(Trong một dịch vụ tư vấn, kiểm toán viên áp dụng các kỹ năng, trình độ chuyên môn, quan sát, kinh nghiệm và kiến thức trong quá trình tư vấn.</w:t>
      </w:r>
      <w:proofErr w:type="gramEnd"/>
      <w:r w:rsidRPr="001F63C6">
        <w:rPr>
          <w:rFonts w:ascii="Times New Roman" w:eastAsia="Times New Roman" w:hAnsi="Times New Roman"/>
          <w:sz w:val="26"/>
          <w:szCs w:val="26"/>
        </w:rPr>
        <w:t xml:space="preserve"> Quá trình tư vấn bao gồm quá trình tìm hiểu thực tế, đánh giá, phân tích, thường bao gồm kết hợp các hoạt động có liên quan đến việc: thiết lập mục tiêu, tìm hiểu thực tế, xác định các vấn đề hoặc các cơ hội, đánh giá những lựa chọn thay thế, hoàn thiện và đưa ra các giải pháp, bao gồm các hành động, trao đổi kết quả, và đôi khi bao gồm cả quá trình thực hiện và theo dõi. </w:t>
      </w:r>
      <w:proofErr w:type="gramStart"/>
      <w:r w:rsidRPr="001F63C6">
        <w:rPr>
          <w:rFonts w:ascii="Times New Roman" w:eastAsia="Times New Roman" w:hAnsi="Times New Roman"/>
          <w:sz w:val="26"/>
          <w:szCs w:val="26"/>
        </w:rPr>
        <w:t>Các báo cáo (nếu được phát hành) thường ở dưới dạng văn bản với các số liệu và thuyết minh (“báo cáo dạng dài”).Thông thường dịch vụ chỉ được thực hiện cho mục đích sử dụng và lợi ích của khách hàng.</w:t>
      </w:r>
      <w:proofErr w:type="gramEnd"/>
      <w:r w:rsidRPr="001F63C6">
        <w:rPr>
          <w:rFonts w:ascii="Times New Roman" w:eastAsia="Times New Roman" w:hAnsi="Times New Roman"/>
          <w:sz w:val="26"/>
          <w:szCs w:val="26"/>
        </w:rPr>
        <w:t xml:space="preserve"> Bản chất và phạm </w:t>
      </w:r>
      <w:proofErr w:type="gramStart"/>
      <w:r w:rsidRPr="001F63C6">
        <w:rPr>
          <w:rFonts w:ascii="Times New Roman" w:eastAsia="Times New Roman" w:hAnsi="Times New Roman"/>
          <w:sz w:val="26"/>
          <w:szCs w:val="26"/>
        </w:rPr>
        <w:t>vi</w:t>
      </w:r>
      <w:proofErr w:type="gramEnd"/>
      <w:r w:rsidRPr="001F63C6">
        <w:rPr>
          <w:rFonts w:ascii="Times New Roman" w:eastAsia="Times New Roman" w:hAnsi="Times New Roman"/>
          <w:sz w:val="26"/>
          <w:szCs w:val="26"/>
        </w:rPr>
        <w:t xml:space="preserve"> của công việc được xác định thông qua hợp đồng giữa doanh nghiệp kiểm toán và khách hàng. </w:t>
      </w:r>
      <w:proofErr w:type="gramStart"/>
      <w:r w:rsidRPr="001F63C6">
        <w:rPr>
          <w:rFonts w:ascii="Times New Roman" w:eastAsia="Times New Roman" w:hAnsi="Times New Roman"/>
          <w:i/>
          <w:sz w:val="26"/>
          <w:szCs w:val="26"/>
        </w:rPr>
        <w:t>Bất kỳ dịch vụ nào đáp ứng được định nghĩa về dịch vụ đảm bảo đều không phải là dịch vụ tư vấn</w:t>
      </w:r>
      <w:r w:rsidRPr="001F63C6">
        <w:rPr>
          <w:rFonts w:ascii="Times New Roman" w:eastAsia="Times New Roman" w:hAnsi="Times New Roman"/>
          <w:sz w:val="26"/>
          <w:szCs w:val="26"/>
        </w:rPr>
        <w:t>).</w:t>
      </w:r>
      <w:proofErr w:type="gramEnd"/>
    </w:p>
    <w:p w:rsidR="004D0BB1" w:rsidRPr="000760B3" w:rsidRDefault="004D0BB1" w:rsidP="004D0BB1">
      <w:pPr>
        <w:pStyle w:val="ListParagraph"/>
        <w:numPr>
          <w:ilvl w:val="0"/>
          <w:numId w:val="7"/>
        </w:numPr>
        <w:tabs>
          <w:tab w:val="left" w:pos="426"/>
          <w:tab w:val="num" w:pos="1620"/>
        </w:tabs>
        <w:spacing w:after="0" w:line="360" w:lineRule="auto"/>
        <w:jc w:val="both"/>
        <w:rPr>
          <w:rFonts w:ascii="Times New Roman" w:eastAsia="Times New Roman" w:hAnsi="Times New Roman"/>
          <w:sz w:val="26"/>
          <w:szCs w:val="26"/>
          <w:lang w:val="vi-VN"/>
        </w:rPr>
      </w:pPr>
      <w:r w:rsidRPr="000760B3">
        <w:rPr>
          <w:rFonts w:ascii="Times New Roman" w:eastAsia="Times New Roman" w:hAnsi="Times New Roman"/>
          <w:sz w:val="26"/>
          <w:szCs w:val="26"/>
          <w:lang w:val="vi-VN"/>
        </w:rPr>
        <w:t>Đây được coi là dịch vụ phi đảm bảo.</w:t>
      </w:r>
    </w:p>
    <w:p w:rsidR="004D0BB1" w:rsidRDefault="004D0BB1" w:rsidP="004D0BB1">
      <w:pPr>
        <w:widowControl w:val="0"/>
        <w:tabs>
          <w:tab w:val="left" w:pos="426"/>
        </w:tabs>
        <w:spacing w:after="0" w:line="360" w:lineRule="auto"/>
        <w:ind w:left="426" w:hanging="426"/>
        <w:contextualSpacing/>
        <w:jc w:val="both"/>
        <w:rPr>
          <w:rFonts w:ascii="Times New Roman" w:eastAsia="Times New Roman" w:hAnsi="Times New Roman"/>
          <w:b/>
          <w:sz w:val="26"/>
          <w:szCs w:val="26"/>
          <w:lang w:val="vi-VN"/>
        </w:rPr>
      </w:pPr>
      <w:r>
        <w:rPr>
          <w:rFonts w:ascii="Times New Roman" w:eastAsia="Times New Roman" w:hAnsi="Times New Roman"/>
          <w:b/>
          <w:sz w:val="26"/>
          <w:szCs w:val="26"/>
          <w:lang w:val="vi-VN"/>
        </w:rPr>
        <w:t>b. Phân loại dịch vụ đảm bảo</w:t>
      </w:r>
    </w:p>
    <w:p w:rsidR="004D0BB1" w:rsidRPr="00C2489B" w:rsidRDefault="004D0BB1" w:rsidP="004D0BB1">
      <w:pPr>
        <w:widowControl w:val="0"/>
        <w:tabs>
          <w:tab w:val="left" w:pos="426"/>
        </w:tabs>
        <w:spacing w:after="0" w:line="360" w:lineRule="auto"/>
        <w:ind w:left="426" w:hanging="426"/>
        <w:contextualSpacing/>
        <w:jc w:val="both"/>
        <w:rPr>
          <w:rFonts w:ascii="Times New Roman" w:eastAsia="Times New Roman" w:hAnsi="Times New Roman"/>
          <w:b/>
          <w:sz w:val="26"/>
          <w:szCs w:val="26"/>
        </w:rPr>
      </w:pPr>
      <w:r w:rsidRPr="00C2489B">
        <w:rPr>
          <w:rFonts w:ascii="Times New Roman" w:eastAsia="Times New Roman" w:hAnsi="Times New Roman"/>
          <w:b/>
          <w:sz w:val="26"/>
          <w:szCs w:val="26"/>
        </w:rPr>
        <w:lastRenderedPageBreak/>
        <w:t>Dịch vụ đảm bảo chứng thực và dịch vụ đảm bảo trực tiếp</w:t>
      </w:r>
    </w:p>
    <w:p w:rsidR="004D0BB1" w:rsidRPr="00C2489B" w:rsidRDefault="004D0BB1" w:rsidP="004D0BB1">
      <w:pPr>
        <w:tabs>
          <w:tab w:val="left" w:pos="426"/>
          <w:tab w:val="left" w:pos="490"/>
        </w:tabs>
        <w:spacing w:after="0" w:line="360" w:lineRule="auto"/>
        <w:ind w:left="426"/>
        <w:jc w:val="both"/>
        <w:rPr>
          <w:rFonts w:ascii="Times New Roman" w:eastAsia="Times New Roman" w:hAnsi="Times New Roman"/>
          <w:sz w:val="26"/>
          <w:szCs w:val="26"/>
        </w:rPr>
      </w:pPr>
      <w:r>
        <w:rPr>
          <w:rFonts w:ascii="Times New Roman" w:eastAsia="Times New Roman" w:hAnsi="Times New Roman"/>
          <w:b/>
          <w:i/>
          <w:sz w:val="26"/>
          <w:szCs w:val="26"/>
          <w:lang w:val="vi-VN"/>
        </w:rPr>
        <w:t>D</w:t>
      </w:r>
      <w:r w:rsidRPr="00C2489B">
        <w:rPr>
          <w:rFonts w:ascii="Times New Roman" w:eastAsia="Times New Roman" w:hAnsi="Times New Roman"/>
          <w:b/>
          <w:i/>
          <w:sz w:val="26"/>
          <w:szCs w:val="26"/>
        </w:rPr>
        <w:t>ịch vụ đảm bảo chứng thực</w:t>
      </w:r>
      <w:r>
        <w:rPr>
          <w:rFonts w:ascii="Times New Roman" w:eastAsia="Times New Roman" w:hAnsi="Times New Roman"/>
          <w:sz w:val="26"/>
          <w:szCs w:val="26"/>
          <w:lang w:val="vi-VN"/>
        </w:rPr>
        <w:t>:</w:t>
      </w:r>
      <w:r w:rsidRPr="00C2489B">
        <w:rPr>
          <w:rFonts w:ascii="Times New Roman" w:eastAsia="Times New Roman" w:hAnsi="Times New Roman"/>
          <w:sz w:val="26"/>
          <w:szCs w:val="26"/>
        </w:rPr>
        <w:t xml:space="preserve"> một bên không phải kiểm toán viên, đánh giá hoặc đo lường đối tượng dịch vụ đảm bảo dựa trên các tiêu chí. Thông thường, bên đó cũng trình bày thông tin về đối tượng dịch vụ đảm bảo dưới dạng một báo cáo. Tuy nhiên, trong một số trường hợp, kiểm toán viên có thể trình bày thông tin về đối tượng dịch vụ đảm bảo trong báo cáo dịch vụ đảm bảo. </w:t>
      </w:r>
      <w:proofErr w:type="gramStart"/>
      <w:r w:rsidRPr="00C2489B">
        <w:rPr>
          <w:rFonts w:ascii="Times New Roman" w:eastAsia="Times New Roman" w:hAnsi="Times New Roman"/>
          <w:sz w:val="26"/>
          <w:szCs w:val="26"/>
        </w:rPr>
        <w:t>Kết luận của kiểm toán viên trình bày liệu thông tin về đối tượng dịch vụ đảm bảo có còn sai sót trọng yếu hay không (xem thêm quy định tại đoạn 85 Khuôn khổ này).</w:t>
      </w:r>
      <w:proofErr w:type="gramEnd"/>
    </w:p>
    <w:p w:rsidR="004D0BB1" w:rsidRPr="00C2489B" w:rsidRDefault="004D0BB1" w:rsidP="004D0BB1">
      <w:pPr>
        <w:tabs>
          <w:tab w:val="left" w:pos="426"/>
          <w:tab w:val="left" w:pos="490"/>
        </w:tabs>
        <w:spacing w:after="0" w:line="360" w:lineRule="auto"/>
        <w:ind w:left="426"/>
        <w:jc w:val="both"/>
        <w:rPr>
          <w:rFonts w:ascii="Times New Roman" w:eastAsia="Times New Roman" w:hAnsi="Times New Roman"/>
          <w:sz w:val="26"/>
          <w:szCs w:val="26"/>
        </w:rPr>
      </w:pPr>
      <w:r>
        <w:rPr>
          <w:rFonts w:ascii="Times New Roman" w:eastAsia="Times New Roman" w:hAnsi="Times New Roman"/>
          <w:b/>
          <w:i/>
          <w:sz w:val="26"/>
          <w:szCs w:val="26"/>
          <w:lang w:val="vi-VN"/>
        </w:rPr>
        <w:t>Dịch</w:t>
      </w:r>
      <w:r w:rsidRPr="00C2489B">
        <w:rPr>
          <w:rFonts w:ascii="Times New Roman" w:eastAsia="Times New Roman" w:hAnsi="Times New Roman"/>
          <w:b/>
          <w:i/>
          <w:sz w:val="26"/>
          <w:szCs w:val="26"/>
        </w:rPr>
        <w:t xml:space="preserve"> vụ đảm bảo trực tiếp</w:t>
      </w:r>
      <w:r>
        <w:rPr>
          <w:rFonts w:ascii="Times New Roman" w:eastAsia="Times New Roman" w:hAnsi="Times New Roman"/>
          <w:sz w:val="26"/>
          <w:szCs w:val="26"/>
          <w:lang w:val="vi-VN"/>
        </w:rPr>
        <w:t>:</w:t>
      </w:r>
      <w:r w:rsidRPr="00C2489B">
        <w:rPr>
          <w:rFonts w:ascii="Times New Roman" w:eastAsia="Times New Roman" w:hAnsi="Times New Roman"/>
          <w:sz w:val="26"/>
          <w:szCs w:val="26"/>
        </w:rPr>
        <w:t xml:space="preserve"> kiểm toán viên </w:t>
      </w:r>
      <w:r w:rsidRPr="00C2489B">
        <w:rPr>
          <w:rFonts w:ascii="Times New Roman" w:eastAsia="Times New Roman" w:hAnsi="Times New Roman"/>
          <w:i/>
          <w:sz w:val="26"/>
          <w:szCs w:val="26"/>
        </w:rPr>
        <w:t>trực tiếp</w:t>
      </w:r>
      <w:r w:rsidRPr="00C2489B">
        <w:rPr>
          <w:rFonts w:ascii="Times New Roman" w:eastAsia="Times New Roman" w:hAnsi="Times New Roman"/>
          <w:sz w:val="26"/>
          <w:szCs w:val="26"/>
        </w:rPr>
        <w:t xml:space="preserve"> đo lường hoặc đánh giá đối tượng dịch vụ đảm bảo dựa trên các tiêu chí. Bên cạnh đó, kiểm toán viên áp dụng các kỹ năng và kỹ thuật đảm bảo để </w:t>
      </w:r>
      <w:proofErr w:type="gramStart"/>
      <w:r w:rsidRPr="00C2489B">
        <w:rPr>
          <w:rFonts w:ascii="Times New Roman" w:eastAsia="Times New Roman" w:hAnsi="Times New Roman"/>
          <w:sz w:val="26"/>
          <w:szCs w:val="26"/>
        </w:rPr>
        <w:t>thu</w:t>
      </w:r>
      <w:proofErr w:type="gramEnd"/>
      <w:r w:rsidRPr="00C2489B">
        <w:rPr>
          <w:rFonts w:ascii="Times New Roman" w:eastAsia="Times New Roman" w:hAnsi="Times New Roman"/>
          <w:sz w:val="26"/>
          <w:szCs w:val="26"/>
        </w:rPr>
        <w:t xml:space="preserve"> thập đầy đủ bằng chứng thích hợp cho kết luận về việc đo lường hoặc đánh giá đối tượng dịch vụ đảm bảo dựa trên các tiêu chí. Kiểm toán viên có thể </w:t>
      </w:r>
      <w:proofErr w:type="gramStart"/>
      <w:r w:rsidRPr="00C2489B">
        <w:rPr>
          <w:rFonts w:ascii="Times New Roman" w:eastAsia="Times New Roman" w:hAnsi="Times New Roman"/>
          <w:sz w:val="26"/>
          <w:szCs w:val="26"/>
        </w:rPr>
        <w:t>thu</w:t>
      </w:r>
      <w:proofErr w:type="gramEnd"/>
      <w:r w:rsidRPr="00C2489B">
        <w:rPr>
          <w:rFonts w:ascii="Times New Roman" w:eastAsia="Times New Roman" w:hAnsi="Times New Roman"/>
          <w:sz w:val="26"/>
          <w:szCs w:val="26"/>
        </w:rPr>
        <w:t xml:space="preserve"> thập các bằng chứng đồng thời trong quá trình đo lường hoặc đánh giá đối tượng dịch vụ đảm bảo, nhưng cũng có thể thu thập trước hoặc sau khi đo lường hoặc đánh giá. Trong một dịch vụ đảm bảo trực tiếp, kết luận của kiểm toán viên phản ánh kết quả của việc đo lường hoặc đánh giá đối tượng dịch vụ đảm bảo dựa trên các tiêu chí và được trình bày </w:t>
      </w:r>
      <w:proofErr w:type="gramStart"/>
      <w:r w:rsidRPr="00C2489B">
        <w:rPr>
          <w:rFonts w:ascii="Times New Roman" w:eastAsia="Times New Roman" w:hAnsi="Times New Roman"/>
          <w:sz w:val="26"/>
          <w:szCs w:val="26"/>
        </w:rPr>
        <w:t>theo</w:t>
      </w:r>
      <w:proofErr w:type="gramEnd"/>
      <w:r w:rsidRPr="00C2489B">
        <w:rPr>
          <w:rFonts w:ascii="Times New Roman" w:eastAsia="Times New Roman" w:hAnsi="Times New Roman"/>
          <w:sz w:val="26"/>
          <w:szCs w:val="26"/>
        </w:rPr>
        <w:t xml:space="preserve"> các đối tượng dịch vụ đảm bảo và các tiêu chí. </w:t>
      </w:r>
      <w:proofErr w:type="gramStart"/>
      <w:r w:rsidRPr="00C2489B">
        <w:rPr>
          <w:rFonts w:ascii="Times New Roman" w:eastAsia="Times New Roman" w:hAnsi="Times New Roman"/>
          <w:sz w:val="26"/>
          <w:szCs w:val="26"/>
        </w:rPr>
        <w:t>Trong một vài dịch vụ đảm bảo trực tiếp, kết luận của kiểm toán viên là thông tin hoặc là một phần thông tin về đối tượng dịch vụ đảm bảo (xem thêm Phụ lục 02 Khuôn khổ này).</w:t>
      </w:r>
      <w:proofErr w:type="gramEnd"/>
    </w:p>
    <w:p w:rsidR="004D0BB1" w:rsidRPr="00C2489B" w:rsidRDefault="004D0BB1" w:rsidP="004D0BB1">
      <w:pPr>
        <w:widowControl w:val="0"/>
        <w:tabs>
          <w:tab w:val="left" w:pos="426"/>
        </w:tabs>
        <w:spacing w:after="0" w:line="360" w:lineRule="auto"/>
        <w:ind w:left="426" w:hanging="426"/>
        <w:contextualSpacing/>
        <w:jc w:val="both"/>
        <w:rPr>
          <w:rFonts w:ascii="Times New Roman" w:eastAsia="Times New Roman" w:hAnsi="Times New Roman"/>
          <w:b/>
          <w:sz w:val="26"/>
          <w:szCs w:val="26"/>
        </w:rPr>
      </w:pPr>
      <w:r w:rsidRPr="00C2489B">
        <w:rPr>
          <w:rFonts w:ascii="Times New Roman" w:eastAsia="Times New Roman" w:hAnsi="Times New Roman"/>
          <w:b/>
          <w:sz w:val="26"/>
          <w:szCs w:val="26"/>
        </w:rPr>
        <w:t>Dịch vụ đảm bảo hợp lý và dịch vụ đảm bảo có giới hạn</w:t>
      </w:r>
    </w:p>
    <w:p w:rsidR="004D0BB1" w:rsidRPr="00C2489B" w:rsidRDefault="004D0BB1" w:rsidP="004D0BB1">
      <w:pPr>
        <w:tabs>
          <w:tab w:val="left" w:pos="426"/>
          <w:tab w:val="left" w:pos="490"/>
        </w:tabs>
        <w:spacing w:after="0" w:line="360" w:lineRule="auto"/>
        <w:ind w:left="426"/>
        <w:jc w:val="both"/>
        <w:rPr>
          <w:rFonts w:ascii="Times New Roman" w:eastAsia="Times New Roman" w:hAnsi="Times New Roman"/>
          <w:sz w:val="26"/>
          <w:szCs w:val="26"/>
        </w:rPr>
      </w:pPr>
      <w:r>
        <w:rPr>
          <w:rFonts w:ascii="Times New Roman" w:eastAsia="Times New Roman" w:hAnsi="Times New Roman"/>
          <w:b/>
          <w:i/>
          <w:sz w:val="26"/>
          <w:szCs w:val="26"/>
          <w:lang w:val="vi-VN"/>
        </w:rPr>
        <w:t>D</w:t>
      </w:r>
      <w:r w:rsidRPr="00C2489B">
        <w:rPr>
          <w:rFonts w:ascii="Times New Roman" w:eastAsia="Times New Roman" w:hAnsi="Times New Roman"/>
          <w:b/>
          <w:i/>
          <w:sz w:val="26"/>
          <w:szCs w:val="26"/>
        </w:rPr>
        <w:t>ịch vụ đảm bảo hợp lý</w:t>
      </w:r>
      <w:r>
        <w:rPr>
          <w:rFonts w:ascii="Times New Roman" w:eastAsia="Times New Roman" w:hAnsi="Times New Roman"/>
          <w:sz w:val="26"/>
          <w:szCs w:val="26"/>
          <w:lang w:val="vi-VN"/>
        </w:rPr>
        <w:t>:</w:t>
      </w:r>
      <w:r w:rsidRPr="00C2489B">
        <w:rPr>
          <w:rFonts w:ascii="Times New Roman" w:eastAsia="Times New Roman" w:hAnsi="Times New Roman"/>
          <w:sz w:val="26"/>
          <w:szCs w:val="26"/>
        </w:rPr>
        <w:t xml:space="preserve"> kiểm toán viên giảm rủi ro dịch vụ xuống một mức thấp có thể chấp nhận được trong hoàn cảnh cụ thể của hợp đồng dịch vụ, làm cơ sở cho kết luận của kiểm toán viên. Kiểm toán viên đưa ra kết luận dưới dạng truyền đạt ý kiến của kiểm toán viên về kết quả đo lường hoặc đánh giá đối tượng dịch vụ đảm bảo dựa trên tiêu chí.</w:t>
      </w:r>
    </w:p>
    <w:p w:rsidR="004D0BB1" w:rsidRPr="00C2489B" w:rsidRDefault="004D0BB1" w:rsidP="004D0BB1">
      <w:pPr>
        <w:tabs>
          <w:tab w:val="left" w:pos="426"/>
          <w:tab w:val="left" w:pos="490"/>
        </w:tabs>
        <w:spacing w:after="0" w:line="360" w:lineRule="auto"/>
        <w:ind w:left="426"/>
        <w:jc w:val="both"/>
        <w:rPr>
          <w:rFonts w:ascii="Times New Roman" w:eastAsia="Times New Roman" w:hAnsi="Times New Roman"/>
          <w:sz w:val="26"/>
          <w:szCs w:val="26"/>
        </w:rPr>
      </w:pPr>
      <w:proofErr w:type="gramStart"/>
      <w:r w:rsidRPr="00C2489B">
        <w:rPr>
          <w:rFonts w:ascii="Times New Roman" w:eastAsia="Times New Roman" w:hAnsi="Times New Roman"/>
          <w:sz w:val="26"/>
          <w:szCs w:val="26"/>
        </w:rPr>
        <w:t>Trong dịch vụ đảm bảo hợp lý, kết luận của kiểm toán viên được trình bày dưới dạng khẳng định, thể hiện ý kiến của kiểm toán viên về kết quả của việc đo lường hoặc đánh giá đối tượng dịch vụ đảm bảo.</w:t>
      </w:r>
      <w:proofErr w:type="gramEnd"/>
    </w:p>
    <w:p w:rsidR="004D0BB1" w:rsidRPr="00C2489B" w:rsidRDefault="004D0BB1" w:rsidP="004D0BB1">
      <w:pPr>
        <w:tabs>
          <w:tab w:val="left" w:pos="426"/>
          <w:tab w:val="left" w:pos="490"/>
        </w:tabs>
        <w:spacing w:after="0" w:line="360" w:lineRule="auto"/>
        <w:jc w:val="both"/>
        <w:rPr>
          <w:rFonts w:ascii="Times New Roman" w:eastAsia="Times New Roman" w:hAnsi="Times New Roman"/>
          <w:sz w:val="26"/>
          <w:szCs w:val="26"/>
          <w:lang w:val="vi-VN"/>
        </w:rPr>
      </w:pPr>
      <w:r>
        <w:rPr>
          <w:rFonts w:ascii="Times New Roman" w:eastAsia="Times New Roman" w:hAnsi="Times New Roman"/>
          <w:sz w:val="26"/>
          <w:szCs w:val="26"/>
          <w:lang w:val="vi-VN"/>
        </w:rPr>
        <w:lastRenderedPageBreak/>
        <w:tab/>
      </w:r>
      <w:r w:rsidRPr="00C2489B">
        <w:rPr>
          <w:rFonts w:ascii="Times New Roman" w:eastAsia="Times New Roman" w:hAnsi="Times New Roman"/>
          <w:sz w:val="26"/>
          <w:szCs w:val="26"/>
          <w:lang w:val="vi-VN"/>
        </w:rPr>
        <w:t>Ví dụ về kết luận của kiểm toán viên trong dịch vụ đảm bảo hợp lý, gồm:</w:t>
      </w:r>
    </w:p>
    <w:p w:rsidR="004D0BB1" w:rsidRPr="00C2489B" w:rsidRDefault="004D0BB1" w:rsidP="004D0BB1">
      <w:pPr>
        <w:numPr>
          <w:ilvl w:val="0"/>
          <w:numId w:val="2"/>
        </w:numPr>
        <w:tabs>
          <w:tab w:val="left" w:pos="851"/>
        </w:tabs>
        <w:spacing w:after="0" w:line="360" w:lineRule="auto"/>
        <w:ind w:left="851" w:hanging="425"/>
        <w:jc w:val="both"/>
        <w:rPr>
          <w:rFonts w:ascii="Times New Roman" w:eastAsia="Times New Roman" w:hAnsi="Times New Roman"/>
          <w:sz w:val="26"/>
          <w:szCs w:val="26"/>
          <w:lang w:val="vi-VN"/>
        </w:rPr>
      </w:pPr>
      <w:r w:rsidRPr="00C2489B">
        <w:rPr>
          <w:rFonts w:ascii="Times New Roman" w:eastAsia="Times New Roman" w:hAnsi="Times New Roman"/>
          <w:sz w:val="26"/>
          <w:szCs w:val="26"/>
          <w:lang w:val="vi-VN"/>
        </w:rPr>
        <w:t>Khi trình bày về đối tượng dịch vụ đảm bảo và tiêu chí áp dụng: “Theo ý kiến của chúng tôi, đơn vị ABC đã tuân thủ Luật XYZ, trên các khía cạnh trọng yếu”;</w:t>
      </w:r>
    </w:p>
    <w:p w:rsidR="004D0BB1" w:rsidRPr="00C2489B" w:rsidRDefault="004D0BB1" w:rsidP="004D0BB1">
      <w:pPr>
        <w:numPr>
          <w:ilvl w:val="0"/>
          <w:numId w:val="2"/>
        </w:numPr>
        <w:tabs>
          <w:tab w:val="left" w:pos="851"/>
        </w:tabs>
        <w:spacing w:after="0" w:line="360" w:lineRule="auto"/>
        <w:ind w:left="851" w:hanging="425"/>
        <w:jc w:val="both"/>
        <w:rPr>
          <w:rFonts w:ascii="Times New Roman" w:eastAsia="Times New Roman" w:hAnsi="Times New Roman"/>
          <w:sz w:val="26"/>
          <w:szCs w:val="26"/>
          <w:lang w:val="vi-VN"/>
        </w:rPr>
      </w:pPr>
      <w:r w:rsidRPr="00C2489B">
        <w:rPr>
          <w:rFonts w:ascii="Times New Roman" w:eastAsia="Times New Roman" w:hAnsi="Times New Roman"/>
          <w:sz w:val="26"/>
          <w:szCs w:val="26"/>
          <w:lang w:val="vi-VN"/>
        </w:rPr>
        <w:t xml:space="preserve">Khi trình bày về thông tin về đối tượng dịch vụ đảm bảo và tiêu chí áp dụng: “Theo ý kiến của chúng tôi, báo cáo tài chính đã phản ánh </w:t>
      </w:r>
      <w:r w:rsidRPr="00C2489B">
        <w:rPr>
          <w:rFonts w:ascii="Times New Roman" w:eastAsia="Times New Roman" w:hAnsi="Times New Roman"/>
          <w:i/>
          <w:sz w:val="26"/>
          <w:szCs w:val="26"/>
          <w:lang w:val="vi-VN"/>
        </w:rPr>
        <w:t>trung thực</w:t>
      </w:r>
      <w:r w:rsidRPr="00C2489B">
        <w:rPr>
          <w:rFonts w:ascii="Times New Roman" w:eastAsia="Times New Roman" w:hAnsi="Times New Roman"/>
          <w:sz w:val="26"/>
          <w:szCs w:val="26"/>
          <w:lang w:val="vi-VN"/>
        </w:rPr>
        <w:t xml:space="preserve"> và hợp lý, trên các khía cạnh trọng yếu, tình hình tài chính của đơn vị ABC tại [ngày… tháng… năm…] cũng như kết quả hoạt động kinh doanh và tình hình lưu chuyển tiền tệ cho năm tài chính kết thúc cùng ngày, phù hợp với khuôn khổ XY1”; hoặc</w:t>
      </w:r>
    </w:p>
    <w:p w:rsidR="004D0BB1" w:rsidRPr="00C2489B" w:rsidRDefault="004D0BB1" w:rsidP="004D0BB1">
      <w:pPr>
        <w:numPr>
          <w:ilvl w:val="0"/>
          <w:numId w:val="2"/>
        </w:numPr>
        <w:tabs>
          <w:tab w:val="left" w:pos="851"/>
        </w:tabs>
        <w:spacing w:after="0" w:line="360" w:lineRule="auto"/>
        <w:ind w:left="851" w:hanging="425"/>
        <w:jc w:val="both"/>
        <w:rPr>
          <w:rFonts w:ascii="Times New Roman" w:eastAsia="Times New Roman" w:hAnsi="Times New Roman"/>
          <w:sz w:val="26"/>
          <w:szCs w:val="26"/>
          <w:lang w:val="vi-VN"/>
        </w:rPr>
      </w:pPr>
      <w:r w:rsidRPr="00C2489B">
        <w:rPr>
          <w:rFonts w:ascii="Times New Roman" w:eastAsia="Times New Roman" w:hAnsi="Times New Roman"/>
          <w:sz w:val="26"/>
          <w:szCs w:val="26"/>
          <w:lang w:val="vi-VN"/>
        </w:rPr>
        <w:t xml:space="preserve">Khi trình bày về báo cáo được lập bởi bên có trách nhiệm liên quan: “Theo ý kiến của chúng tôi, báo cáo của [bên có trách nhiệm liên quan] về việc đơn vị ABC tuân thủ Luật XYZ đã được trình bày </w:t>
      </w:r>
      <w:r w:rsidRPr="00C2489B">
        <w:rPr>
          <w:rFonts w:ascii="Times New Roman" w:eastAsia="Times New Roman" w:hAnsi="Times New Roman"/>
          <w:i/>
          <w:sz w:val="26"/>
          <w:szCs w:val="26"/>
          <w:lang w:val="vi-VN"/>
        </w:rPr>
        <w:t>trung thực và</w:t>
      </w:r>
      <w:r w:rsidRPr="00C2489B">
        <w:rPr>
          <w:rFonts w:ascii="Times New Roman" w:eastAsia="Times New Roman" w:hAnsi="Times New Roman"/>
          <w:sz w:val="26"/>
          <w:szCs w:val="26"/>
          <w:lang w:val="vi-VN"/>
        </w:rPr>
        <w:t xml:space="preserve"> hợp lý, trên các khía cạnh trọng yếu”; hoặc “Theo ý kiến của chúng tôi, báo cáo của [bên có trách nhiệm liên quan] về việc các chỉ số đánh giá thực hiện công việc được lập phù hợp với các tiêu chí XY2 đã được trình bày </w:t>
      </w:r>
      <w:r w:rsidRPr="00C2489B">
        <w:rPr>
          <w:rFonts w:ascii="Times New Roman" w:eastAsia="Times New Roman" w:hAnsi="Times New Roman"/>
          <w:i/>
          <w:sz w:val="26"/>
          <w:szCs w:val="26"/>
          <w:lang w:val="vi-VN"/>
        </w:rPr>
        <w:t>trung thực và</w:t>
      </w:r>
      <w:r w:rsidRPr="00C2489B">
        <w:rPr>
          <w:rFonts w:ascii="Times New Roman" w:eastAsia="Times New Roman" w:hAnsi="Times New Roman"/>
          <w:sz w:val="26"/>
          <w:szCs w:val="26"/>
          <w:lang w:val="vi-VN"/>
        </w:rPr>
        <w:t xml:space="preserve"> hợp lý, trên các khía cạnh trọng yếu”. Trong hợp đồng dịch vụ đảm bảo trực tiếp, kết luận của kiểm toán viên được trình bày về đối tượng dịch vụ đảm bảo và các tiêu chí.</w:t>
      </w:r>
    </w:p>
    <w:p w:rsidR="004D0BB1" w:rsidRPr="00C2489B" w:rsidRDefault="004D0BB1" w:rsidP="004D0BB1">
      <w:pPr>
        <w:tabs>
          <w:tab w:val="left" w:pos="426"/>
          <w:tab w:val="left" w:pos="490"/>
        </w:tabs>
        <w:spacing w:after="0" w:line="360" w:lineRule="auto"/>
        <w:ind w:left="426"/>
        <w:jc w:val="both"/>
        <w:rPr>
          <w:rFonts w:ascii="Times New Roman" w:eastAsia="Times New Roman" w:hAnsi="Times New Roman"/>
          <w:sz w:val="26"/>
          <w:szCs w:val="26"/>
        </w:rPr>
      </w:pPr>
      <w:r>
        <w:rPr>
          <w:rFonts w:ascii="Times New Roman" w:eastAsia="Times New Roman" w:hAnsi="Times New Roman"/>
          <w:b/>
          <w:i/>
          <w:sz w:val="26"/>
          <w:szCs w:val="26"/>
          <w:lang w:val="vi-VN"/>
        </w:rPr>
        <w:t>D</w:t>
      </w:r>
      <w:r w:rsidRPr="00C2489B">
        <w:rPr>
          <w:rFonts w:ascii="Times New Roman" w:eastAsia="Times New Roman" w:hAnsi="Times New Roman"/>
          <w:b/>
          <w:i/>
          <w:sz w:val="26"/>
          <w:szCs w:val="26"/>
        </w:rPr>
        <w:t>ịch vụ đảm bảo có giới hạn</w:t>
      </w:r>
      <w:r>
        <w:rPr>
          <w:rFonts w:ascii="Times New Roman" w:eastAsia="Times New Roman" w:hAnsi="Times New Roman"/>
          <w:sz w:val="26"/>
          <w:szCs w:val="26"/>
          <w:lang w:val="vi-VN"/>
        </w:rPr>
        <w:t>:</w:t>
      </w:r>
      <w:r w:rsidRPr="00C2489B">
        <w:rPr>
          <w:rFonts w:ascii="Times New Roman" w:eastAsia="Times New Roman" w:hAnsi="Times New Roman"/>
          <w:sz w:val="26"/>
          <w:szCs w:val="26"/>
        </w:rPr>
        <w:t xml:space="preserve"> kiểm toán viên giảm rủi ro dịch vụ xuống mức có thể chấp nhận được trong hoàn cảnh cụ thể của hợp đồng dịch vụ nhưng cao hơn so với mức rủi ro của dịch vụ đảm bảo hợp lý, làm cơ sở cho việc đưa ra kết luận của kiểm toán viên. Kiểm toán viên đưa ra kết luận dưới dạng truyền đạt ý kiến về việc, dựa trên các thủ tục thực hiện và bằng chứng thu thập được, kiểm toán viên nhận thấy có (hay không có) vấn đề khiến kiểm toán viên cho rằng thông tin về đối tượng dịch vụ đảm bảo có sai sót trọng yếu. Nội dung, lịch trình, phạm vi các thủ tục thực hiện trong dịch vụ đảm bảo có giới hạn có mức độ hạn chế hơn so với dịch vụ đảm bảo hợp lý, tuy nhiên, các thủ tục này được lập kế hoạch để đạt được mức độ đảm bảo mà theo xét đoán của kiểm toán viên là chấp nhận được. </w:t>
      </w:r>
      <w:proofErr w:type="gramStart"/>
      <w:r w:rsidRPr="00C2489B">
        <w:rPr>
          <w:rFonts w:ascii="Times New Roman" w:eastAsia="Times New Roman" w:hAnsi="Times New Roman"/>
          <w:sz w:val="26"/>
          <w:szCs w:val="26"/>
        </w:rPr>
        <w:t>Mức độ đảm bảo chấp nhận được là mức độ đảm bảo mà kiểm toán viên đạt được, có khả năng làm tăng sự tin tưởng của đối tượng sử dụng đối với thông tin về đối tượng dịch vụ đảm bảo với mức độ cao hơn mức không đáng kể.</w:t>
      </w:r>
      <w:proofErr w:type="gramEnd"/>
    </w:p>
    <w:p w:rsidR="004D0BB1" w:rsidRPr="00C2489B" w:rsidRDefault="004D0BB1" w:rsidP="004D0BB1">
      <w:pPr>
        <w:tabs>
          <w:tab w:val="left" w:pos="426"/>
          <w:tab w:val="left" w:pos="490"/>
        </w:tabs>
        <w:spacing w:after="0" w:line="360" w:lineRule="auto"/>
        <w:ind w:left="426"/>
        <w:jc w:val="both"/>
        <w:rPr>
          <w:rFonts w:ascii="Times New Roman" w:eastAsia="Times New Roman" w:hAnsi="Times New Roman"/>
          <w:sz w:val="26"/>
          <w:szCs w:val="26"/>
          <w:lang w:val="vi-VN"/>
        </w:rPr>
      </w:pPr>
      <w:r w:rsidRPr="00C2489B">
        <w:rPr>
          <w:rFonts w:ascii="Times New Roman" w:eastAsia="Times New Roman" w:hAnsi="Times New Roman"/>
          <w:sz w:val="26"/>
          <w:szCs w:val="26"/>
          <w:lang w:val="vi-VN"/>
        </w:rPr>
        <w:lastRenderedPageBreak/>
        <w:t xml:space="preserve">Trong các loại dịch vụ đảm bảo có giới hạn, mức độ đảm bảo chấp nhận được có thể thay đổi trong khoảng từ ngưỡng trên mức độ đảm bảo </w:t>
      </w:r>
      <w:r w:rsidRPr="00C2489B">
        <w:rPr>
          <w:rFonts w:ascii="Times New Roman" w:eastAsia="Times New Roman" w:hAnsi="Times New Roman"/>
          <w:i/>
          <w:sz w:val="26"/>
          <w:szCs w:val="26"/>
          <w:lang w:val="vi-VN"/>
        </w:rPr>
        <w:t>tối thiểu</w:t>
      </w:r>
      <w:r w:rsidRPr="00C2489B">
        <w:rPr>
          <w:rFonts w:ascii="Times New Roman" w:eastAsia="Times New Roman" w:hAnsi="Times New Roman"/>
          <w:sz w:val="26"/>
          <w:szCs w:val="26"/>
          <w:lang w:val="vi-VN"/>
        </w:rPr>
        <w:t xml:space="preserve"> (là mức đảm bảo có khả năng làm tăng sự tin tưởng của đối tượng sử dụng đối với thông tin về đối tượng dịch vụ đảm bảo tới một mức độ cao hơn mức không đáng kể) đến ngưỡng thấp hơn mức độ </w:t>
      </w:r>
      <w:r w:rsidRPr="00C2489B">
        <w:rPr>
          <w:rFonts w:ascii="Times New Roman" w:eastAsia="Times New Roman" w:hAnsi="Times New Roman"/>
          <w:i/>
          <w:sz w:val="26"/>
          <w:szCs w:val="26"/>
          <w:lang w:val="vi-VN"/>
        </w:rPr>
        <w:t>đảm bảo hợp lý</w:t>
      </w:r>
      <w:r w:rsidRPr="00C2489B">
        <w:rPr>
          <w:rFonts w:ascii="Times New Roman" w:eastAsia="Times New Roman" w:hAnsi="Times New Roman"/>
          <w:sz w:val="26"/>
          <w:szCs w:val="26"/>
          <w:lang w:val="vi-VN"/>
        </w:rPr>
        <w:t>. Kiểm toán viên phải sử dụng xét đoán chuyên môn để xác định mức độ đảm bảo chấp nhận được trong khoảng thay đổi đó, phụ thuộc vào hoàn cảnh cụ thể của hợp đồng dịch vụ, bao gồm các thông tin cần thiết của nhóm đối tượng sử dụng, các tiêu chí và đối tượng dịch vụ đảm bảo. Trong một số trường hợp, hậu quả của việc các đối tượng sử dụng nhận được các kết luận không phù hợp có thể rất lớn, do đó, kiểm toán viên cần thực hiện hợp đồng dịch vụ đảm bảo hợp lý để đạt được mức độ đảm bảo chấp nhận được trong các tình huống đó.</w:t>
      </w:r>
    </w:p>
    <w:p w:rsidR="004D0BB1" w:rsidRDefault="004D0BB1" w:rsidP="004D0BB1">
      <w:pPr>
        <w:tabs>
          <w:tab w:val="left" w:pos="426"/>
        </w:tabs>
        <w:spacing w:after="0" w:line="240" w:lineRule="auto"/>
        <w:rPr>
          <w:rFonts w:ascii="Times New Roman" w:hAnsi="Times New Roman"/>
          <w:b/>
          <w:iCs/>
          <w:sz w:val="26"/>
          <w:szCs w:val="26"/>
          <w:lang w:val="vi-VN"/>
        </w:rPr>
      </w:pPr>
    </w:p>
    <w:p w:rsidR="004D0BB1" w:rsidRDefault="004D0BB1" w:rsidP="004D0BB1">
      <w:pPr>
        <w:tabs>
          <w:tab w:val="left" w:pos="426"/>
        </w:tabs>
        <w:spacing w:after="0" w:line="240" w:lineRule="auto"/>
        <w:rPr>
          <w:rFonts w:ascii="Times New Roman" w:hAnsi="Times New Roman"/>
          <w:b/>
          <w:iCs/>
          <w:sz w:val="26"/>
          <w:szCs w:val="26"/>
          <w:lang w:val="vi-VN"/>
        </w:rPr>
      </w:pPr>
    </w:p>
    <w:p w:rsidR="004D0BB1" w:rsidRDefault="004D0BB1" w:rsidP="004D0BB1">
      <w:pPr>
        <w:tabs>
          <w:tab w:val="left" w:pos="426"/>
        </w:tabs>
        <w:spacing w:after="0" w:line="240" w:lineRule="auto"/>
        <w:rPr>
          <w:rFonts w:ascii="Times New Roman" w:hAnsi="Times New Roman"/>
          <w:b/>
          <w:iCs/>
          <w:sz w:val="26"/>
          <w:szCs w:val="26"/>
          <w:lang w:val="vi-VN"/>
        </w:rPr>
      </w:pPr>
    </w:p>
    <w:p w:rsidR="004D0BB1" w:rsidRDefault="004D0BB1" w:rsidP="004D0BB1">
      <w:pPr>
        <w:tabs>
          <w:tab w:val="left" w:pos="426"/>
        </w:tabs>
        <w:spacing w:after="0" w:line="240" w:lineRule="auto"/>
        <w:rPr>
          <w:rFonts w:ascii="Times New Roman" w:hAnsi="Times New Roman"/>
          <w:b/>
          <w:iCs/>
          <w:sz w:val="26"/>
          <w:szCs w:val="26"/>
          <w:lang w:val="vi-VN"/>
        </w:rPr>
      </w:pPr>
    </w:p>
    <w:p w:rsidR="004D0BB1" w:rsidRDefault="004D0BB1" w:rsidP="004D0BB1">
      <w:pPr>
        <w:tabs>
          <w:tab w:val="left" w:pos="426"/>
        </w:tabs>
        <w:spacing w:after="0" w:line="240" w:lineRule="auto"/>
        <w:rPr>
          <w:rFonts w:ascii="Times New Roman" w:hAnsi="Times New Roman"/>
          <w:b/>
          <w:iCs/>
          <w:sz w:val="26"/>
          <w:szCs w:val="26"/>
          <w:lang w:val="vi-VN"/>
        </w:rPr>
      </w:pPr>
    </w:p>
    <w:p w:rsidR="004D0BB1" w:rsidRDefault="004D0BB1" w:rsidP="004D0BB1">
      <w:pPr>
        <w:tabs>
          <w:tab w:val="left" w:pos="426"/>
        </w:tabs>
        <w:spacing w:after="0" w:line="240" w:lineRule="auto"/>
        <w:rPr>
          <w:rFonts w:ascii="Times New Roman" w:hAnsi="Times New Roman"/>
          <w:b/>
          <w:iCs/>
          <w:sz w:val="26"/>
          <w:szCs w:val="26"/>
          <w:lang w:val="vi-VN"/>
        </w:rPr>
      </w:pPr>
    </w:p>
    <w:p w:rsidR="004D0BB1" w:rsidRDefault="004D0BB1" w:rsidP="004D0BB1">
      <w:pPr>
        <w:tabs>
          <w:tab w:val="left" w:pos="426"/>
        </w:tabs>
        <w:spacing w:after="0" w:line="240" w:lineRule="auto"/>
        <w:rPr>
          <w:rFonts w:ascii="Times New Roman" w:hAnsi="Times New Roman"/>
          <w:b/>
          <w:iCs/>
          <w:sz w:val="26"/>
          <w:szCs w:val="26"/>
          <w:lang w:val="vi-VN"/>
        </w:rPr>
      </w:pPr>
    </w:p>
    <w:p w:rsidR="004D0BB1" w:rsidRDefault="004D0BB1" w:rsidP="004D0BB1">
      <w:pPr>
        <w:tabs>
          <w:tab w:val="left" w:pos="426"/>
        </w:tabs>
        <w:spacing w:after="0" w:line="240" w:lineRule="auto"/>
        <w:rPr>
          <w:rFonts w:ascii="Times New Roman" w:hAnsi="Times New Roman"/>
          <w:b/>
          <w:iCs/>
          <w:sz w:val="26"/>
          <w:szCs w:val="26"/>
          <w:lang w:val="vi-VN"/>
        </w:rPr>
      </w:pPr>
    </w:p>
    <w:p w:rsidR="004D0BB1" w:rsidRDefault="004D0BB1" w:rsidP="004D0BB1">
      <w:pPr>
        <w:tabs>
          <w:tab w:val="left" w:pos="426"/>
        </w:tabs>
        <w:spacing w:after="0" w:line="240" w:lineRule="auto"/>
        <w:rPr>
          <w:rFonts w:ascii="Times New Roman" w:hAnsi="Times New Roman"/>
          <w:b/>
          <w:iCs/>
          <w:sz w:val="26"/>
          <w:szCs w:val="26"/>
          <w:lang w:val="vi-VN"/>
        </w:rPr>
      </w:pPr>
    </w:p>
    <w:p w:rsidR="004D0BB1" w:rsidRDefault="004D0BB1" w:rsidP="004D0BB1">
      <w:pPr>
        <w:tabs>
          <w:tab w:val="left" w:pos="426"/>
        </w:tabs>
        <w:spacing w:after="0" w:line="240" w:lineRule="auto"/>
        <w:rPr>
          <w:rFonts w:ascii="Times New Roman" w:hAnsi="Times New Roman"/>
          <w:b/>
          <w:iCs/>
          <w:sz w:val="26"/>
          <w:szCs w:val="26"/>
          <w:lang w:val="vi-VN"/>
        </w:rPr>
      </w:pPr>
    </w:p>
    <w:p w:rsidR="004D0BB1" w:rsidRDefault="004D0BB1" w:rsidP="004D0BB1">
      <w:pPr>
        <w:tabs>
          <w:tab w:val="left" w:pos="426"/>
        </w:tabs>
        <w:spacing w:after="0" w:line="240" w:lineRule="auto"/>
        <w:rPr>
          <w:rFonts w:ascii="Times New Roman" w:hAnsi="Times New Roman"/>
          <w:b/>
          <w:iCs/>
          <w:sz w:val="26"/>
          <w:szCs w:val="26"/>
          <w:lang w:val="vi-VN"/>
        </w:rPr>
      </w:pPr>
    </w:p>
    <w:p w:rsidR="004D0BB1" w:rsidRDefault="004D0BB1" w:rsidP="004D0BB1">
      <w:pPr>
        <w:tabs>
          <w:tab w:val="left" w:pos="426"/>
        </w:tabs>
        <w:spacing w:after="0" w:line="240" w:lineRule="auto"/>
        <w:rPr>
          <w:rFonts w:ascii="Times New Roman" w:hAnsi="Times New Roman"/>
          <w:b/>
          <w:iCs/>
          <w:sz w:val="26"/>
          <w:szCs w:val="26"/>
          <w:lang w:val="vi-VN"/>
        </w:rPr>
      </w:pPr>
    </w:p>
    <w:p w:rsidR="00C64B7A" w:rsidRDefault="00C64B7A"/>
    <w:sectPr w:rsidR="00C64B7A" w:rsidSect="002A26F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E0538"/>
    <w:multiLevelType w:val="hybridMultilevel"/>
    <w:tmpl w:val="C5E6BE6E"/>
    <w:lvl w:ilvl="0" w:tplc="80A605B4">
      <w:start w:val="1"/>
      <w:numFmt w:val="decimal"/>
      <w:lvlText w:val="(%1)"/>
      <w:lvlJc w:val="left"/>
      <w:pPr>
        <w:ind w:left="1571" w:hanging="360"/>
      </w:pPr>
    </w:lvl>
    <w:lvl w:ilvl="1" w:tplc="042A0019">
      <w:start w:val="1"/>
      <w:numFmt w:val="lowerLetter"/>
      <w:lvlText w:val="%2."/>
      <w:lvlJc w:val="left"/>
      <w:pPr>
        <w:ind w:left="2291" w:hanging="360"/>
      </w:pPr>
    </w:lvl>
    <w:lvl w:ilvl="2" w:tplc="042A001B">
      <w:start w:val="1"/>
      <w:numFmt w:val="lowerRoman"/>
      <w:lvlText w:val="%3."/>
      <w:lvlJc w:val="right"/>
      <w:pPr>
        <w:ind w:left="3011" w:hanging="180"/>
      </w:pPr>
    </w:lvl>
    <w:lvl w:ilvl="3" w:tplc="042A000F">
      <w:start w:val="1"/>
      <w:numFmt w:val="decimal"/>
      <w:lvlText w:val="%4."/>
      <w:lvlJc w:val="left"/>
      <w:pPr>
        <w:ind w:left="3731" w:hanging="360"/>
      </w:pPr>
    </w:lvl>
    <w:lvl w:ilvl="4" w:tplc="042A0019">
      <w:start w:val="1"/>
      <w:numFmt w:val="lowerLetter"/>
      <w:lvlText w:val="%5."/>
      <w:lvlJc w:val="left"/>
      <w:pPr>
        <w:ind w:left="4451" w:hanging="360"/>
      </w:pPr>
    </w:lvl>
    <w:lvl w:ilvl="5" w:tplc="042A001B">
      <w:start w:val="1"/>
      <w:numFmt w:val="lowerRoman"/>
      <w:lvlText w:val="%6."/>
      <w:lvlJc w:val="right"/>
      <w:pPr>
        <w:ind w:left="5171" w:hanging="180"/>
      </w:pPr>
    </w:lvl>
    <w:lvl w:ilvl="6" w:tplc="042A000F">
      <w:start w:val="1"/>
      <w:numFmt w:val="decimal"/>
      <w:lvlText w:val="%7."/>
      <w:lvlJc w:val="left"/>
      <w:pPr>
        <w:ind w:left="5891" w:hanging="360"/>
      </w:pPr>
    </w:lvl>
    <w:lvl w:ilvl="7" w:tplc="042A0019">
      <w:start w:val="1"/>
      <w:numFmt w:val="lowerLetter"/>
      <w:lvlText w:val="%8."/>
      <w:lvlJc w:val="left"/>
      <w:pPr>
        <w:ind w:left="6611" w:hanging="360"/>
      </w:pPr>
    </w:lvl>
    <w:lvl w:ilvl="8" w:tplc="042A001B">
      <w:start w:val="1"/>
      <w:numFmt w:val="lowerRoman"/>
      <w:lvlText w:val="%9."/>
      <w:lvlJc w:val="right"/>
      <w:pPr>
        <w:ind w:left="7331" w:hanging="180"/>
      </w:pPr>
    </w:lvl>
  </w:abstractNum>
  <w:abstractNum w:abstractNumId="1">
    <w:nsid w:val="142756DC"/>
    <w:multiLevelType w:val="hybridMultilevel"/>
    <w:tmpl w:val="7A3E0440"/>
    <w:lvl w:ilvl="0" w:tplc="4BFA06E4">
      <w:start w:val="1"/>
      <w:numFmt w:val="decimal"/>
      <w:lvlText w:val="(%1)"/>
      <w:lvlJc w:val="left"/>
      <w:pPr>
        <w:ind w:left="720" w:hanging="360"/>
      </w:pPr>
      <w:rPr>
        <w:rFonts w:ascii="Times New Roman" w:hAnsi="Times New Roman" w:cs="Times New Roman" w:hint="default"/>
      </w:rPr>
    </w:lvl>
    <w:lvl w:ilvl="1" w:tplc="042A0019">
      <w:start w:val="1"/>
      <w:numFmt w:val="lowerLetter"/>
      <w:lvlText w:val="%2."/>
      <w:lvlJc w:val="left"/>
      <w:pPr>
        <w:ind w:left="2291" w:hanging="360"/>
      </w:pPr>
    </w:lvl>
    <w:lvl w:ilvl="2" w:tplc="042A001B">
      <w:start w:val="1"/>
      <w:numFmt w:val="lowerRoman"/>
      <w:lvlText w:val="%3."/>
      <w:lvlJc w:val="right"/>
      <w:pPr>
        <w:ind w:left="3011" w:hanging="180"/>
      </w:pPr>
    </w:lvl>
    <w:lvl w:ilvl="3" w:tplc="042A000F">
      <w:start w:val="1"/>
      <w:numFmt w:val="decimal"/>
      <w:lvlText w:val="%4."/>
      <w:lvlJc w:val="left"/>
      <w:pPr>
        <w:ind w:left="3731" w:hanging="360"/>
      </w:pPr>
    </w:lvl>
    <w:lvl w:ilvl="4" w:tplc="042A0019">
      <w:start w:val="1"/>
      <w:numFmt w:val="lowerLetter"/>
      <w:lvlText w:val="%5."/>
      <w:lvlJc w:val="left"/>
      <w:pPr>
        <w:ind w:left="4451" w:hanging="360"/>
      </w:pPr>
    </w:lvl>
    <w:lvl w:ilvl="5" w:tplc="042A001B">
      <w:start w:val="1"/>
      <w:numFmt w:val="lowerRoman"/>
      <w:lvlText w:val="%6."/>
      <w:lvlJc w:val="right"/>
      <w:pPr>
        <w:ind w:left="5171" w:hanging="180"/>
      </w:pPr>
    </w:lvl>
    <w:lvl w:ilvl="6" w:tplc="042A000F">
      <w:start w:val="1"/>
      <w:numFmt w:val="decimal"/>
      <w:lvlText w:val="%7."/>
      <w:lvlJc w:val="left"/>
      <w:pPr>
        <w:ind w:left="5891" w:hanging="360"/>
      </w:pPr>
    </w:lvl>
    <w:lvl w:ilvl="7" w:tplc="042A0019">
      <w:start w:val="1"/>
      <w:numFmt w:val="lowerLetter"/>
      <w:lvlText w:val="%8."/>
      <w:lvlJc w:val="left"/>
      <w:pPr>
        <w:ind w:left="6611" w:hanging="360"/>
      </w:pPr>
    </w:lvl>
    <w:lvl w:ilvl="8" w:tplc="042A001B">
      <w:start w:val="1"/>
      <w:numFmt w:val="lowerRoman"/>
      <w:lvlText w:val="%9."/>
      <w:lvlJc w:val="right"/>
      <w:pPr>
        <w:ind w:left="7331" w:hanging="180"/>
      </w:pPr>
    </w:lvl>
  </w:abstractNum>
  <w:abstractNum w:abstractNumId="2">
    <w:nsid w:val="400F4179"/>
    <w:multiLevelType w:val="hybridMultilevel"/>
    <w:tmpl w:val="10D29C58"/>
    <w:lvl w:ilvl="0" w:tplc="15A4B614">
      <w:start w:val="10"/>
      <w:numFmt w:val="decimal"/>
      <w:lvlText w:val="%1."/>
      <w:lvlJc w:val="left"/>
      <w:pPr>
        <w:tabs>
          <w:tab w:val="num" w:pos="960"/>
        </w:tabs>
        <w:ind w:left="904" w:hanging="454"/>
      </w:pPr>
      <w:rPr>
        <w:rFonts w:cs="Times New Roman"/>
        <w:b w:val="0"/>
        <w:i w:val="0"/>
        <w:sz w:val="26"/>
        <w:szCs w:val="26"/>
      </w:rPr>
    </w:lvl>
    <w:lvl w:ilvl="1" w:tplc="9E62B1D8">
      <w:start w:val="1"/>
      <w:numFmt w:val="lowerLetter"/>
      <w:lvlText w:val="(%2)"/>
      <w:lvlJc w:val="left"/>
      <w:pPr>
        <w:tabs>
          <w:tab w:val="num" w:pos="1620"/>
        </w:tabs>
        <w:ind w:left="1620" w:hanging="360"/>
      </w:pPr>
      <w:rPr>
        <w:rFonts w:cs="Times New Roman"/>
        <w:b w:val="0"/>
        <w:i w:val="0"/>
        <w:sz w:val="26"/>
        <w:szCs w:val="26"/>
      </w:r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3">
    <w:nsid w:val="4BA70616"/>
    <w:multiLevelType w:val="hybridMultilevel"/>
    <w:tmpl w:val="08B6A3DA"/>
    <w:lvl w:ilvl="0" w:tplc="D742974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D067537"/>
    <w:multiLevelType w:val="hybridMultilevel"/>
    <w:tmpl w:val="0BD67DAA"/>
    <w:lvl w:ilvl="0" w:tplc="1C96FEEA">
      <w:start w:val="2"/>
      <w:numFmt w:val="bullet"/>
      <w:lvlText w:val=""/>
      <w:lvlJc w:val="left"/>
      <w:pPr>
        <w:ind w:left="780" w:hanging="360"/>
      </w:pPr>
      <w:rPr>
        <w:rFonts w:ascii="Wingdings" w:eastAsia="Times New Roman" w:hAnsi="Wingdings"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nsid w:val="6284205A"/>
    <w:multiLevelType w:val="hybridMultilevel"/>
    <w:tmpl w:val="19C89228"/>
    <w:lvl w:ilvl="0" w:tplc="F0709C70">
      <w:start w:val="2"/>
      <w:numFmt w:val="bullet"/>
      <w:lvlText w:val=""/>
      <w:lvlJc w:val="left"/>
      <w:pPr>
        <w:ind w:left="780" w:hanging="360"/>
      </w:pPr>
      <w:rPr>
        <w:rFonts w:ascii="Symbol" w:eastAsia="Times New Roman" w:hAnsi="Symbol"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nsid w:val="68997C8B"/>
    <w:multiLevelType w:val="hybridMultilevel"/>
    <w:tmpl w:val="645ED91E"/>
    <w:lvl w:ilvl="0" w:tplc="04090009">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nsid w:val="735B3884"/>
    <w:multiLevelType w:val="hybridMultilevel"/>
    <w:tmpl w:val="E8243F96"/>
    <w:lvl w:ilvl="0" w:tplc="9086CCDA">
      <w:start w:val="1"/>
      <w:numFmt w:val="decimal"/>
      <w:lvlText w:val="(%1)"/>
      <w:lvlJc w:val="left"/>
      <w:pPr>
        <w:tabs>
          <w:tab w:val="num" w:pos="1770"/>
        </w:tabs>
        <w:ind w:left="1714" w:hanging="454"/>
      </w:pPr>
      <w:rPr>
        <w:b w:val="0"/>
        <w:i w:val="0"/>
      </w:rPr>
    </w:lvl>
    <w:lvl w:ilvl="1" w:tplc="04090019">
      <w:start w:val="1"/>
      <w:numFmt w:val="lowerLetter"/>
      <w:lvlText w:val="%2."/>
      <w:lvlJc w:val="left"/>
      <w:pPr>
        <w:tabs>
          <w:tab w:val="num" w:pos="180"/>
        </w:tabs>
        <w:ind w:left="180" w:hanging="360"/>
      </w:pPr>
    </w:lvl>
    <w:lvl w:ilvl="2" w:tplc="0409001B">
      <w:start w:val="1"/>
      <w:numFmt w:val="lowerRoman"/>
      <w:lvlText w:val="%3."/>
      <w:lvlJc w:val="right"/>
      <w:pPr>
        <w:tabs>
          <w:tab w:val="num" w:pos="900"/>
        </w:tabs>
        <w:ind w:left="900" w:hanging="180"/>
      </w:pPr>
    </w:lvl>
    <w:lvl w:ilvl="3" w:tplc="0409000F">
      <w:start w:val="1"/>
      <w:numFmt w:val="decimal"/>
      <w:lvlText w:val="%4."/>
      <w:lvlJc w:val="left"/>
      <w:pPr>
        <w:tabs>
          <w:tab w:val="num" w:pos="1620"/>
        </w:tabs>
        <w:ind w:left="1620" w:hanging="360"/>
      </w:pPr>
    </w:lvl>
    <w:lvl w:ilvl="4" w:tplc="04090019">
      <w:start w:val="1"/>
      <w:numFmt w:val="lowerLetter"/>
      <w:lvlText w:val="%5."/>
      <w:lvlJc w:val="left"/>
      <w:pPr>
        <w:tabs>
          <w:tab w:val="num" w:pos="2340"/>
        </w:tabs>
        <w:ind w:left="2340" w:hanging="360"/>
      </w:pPr>
    </w:lvl>
    <w:lvl w:ilvl="5" w:tplc="0409001B">
      <w:start w:val="1"/>
      <w:numFmt w:val="lowerRoman"/>
      <w:lvlText w:val="%6."/>
      <w:lvlJc w:val="right"/>
      <w:pPr>
        <w:tabs>
          <w:tab w:val="num" w:pos="3060"/>
        </w:tabs>
        <w:ind w:left="3060" w:hanging="180"/>
      </w:pPr>
    </w:lvl>
    <w:lvl w:ilvl="6" w:tplc="0409000F">
      <w:start w:val="1"/>
      <w:numFmt w:val="decimal"/>
      <w:lvlText w:val="%7."/>
      <w:lvlJc w:val="left"/>
      <w:pPr>
        <w:tabs>
          <w:tab w:val="num" w:pos="3780"/>
        </w:tabs>
        <w:ind w:left="3780" w:hanging="360"/>
      </w:pPr>
    </w:lvl>
    <w:lvl w:ilvl="7" w:tplc="04090019">
      <w:start w:val="1"/>
      <w:numFmt w:val="lowerLetter"/>
      <w:lvlText w:val="%8."/>
      <w:lvlJc w:val="left"/>
      <w:pPr>
        <w:tabs>
          <w:tab w:val="num" w:pos="4500"/>
        </w:tabs>
        <w:ind w:left="4500" w:hanging="360"/>
      </w:pPr>
    </w:lvl>
    <w:lvl w:ilvl="8" w:tplc="0409001B">
      <w:start w:val="1"/>
      <w:numFmt w:val="lowerRoman"/>
      <w:lvlText w:val="%9."/>
      <w:lvlJc w:val="right"/>
      <w:pPr>
        <w:tabs>
          <w:tab w:val="num" w:pos="5220"/>
        </w:tabs>
        <w:ind w:left="5220" w:hanging="180"/>
      </w:pPr>
    </w:lvl>
  </w:abstractNum>
  <w:num w:numId="1">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4"/>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4D0BB1"/>
    <w:rsid w:val="00081408"/>
    <w:rsid w:val="002A26FF"/>
    <w:rsid w:val="00416377"/>
    <w:rsid w:val="004D0BB1"/>
    <w:rsid w:val="00C64B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BB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D0B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BB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D0BB1"/>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1357</Words>
  <Characters>7738</Characters>
  <Application>Microsoft Office Word</Application>
  <DocSecurity>0</DocSecurity>
  <Lines>64</Lines>
  <Paragraphs>18</Paragraphs>
  <ScaleCrop>false</ScaleCrop>
  <Company>Microsoft</Company>
  <LinksUpToDate>false</LinksUpToDate>
  <CharactersWithSpaces>9077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2018-12-20T00:52:00Z</dcterms:created>
  <dcterms:modified xsi:type="dcterms:W3CDTF">2018-12-20T00:52:00Z</dcterms:modified>
</cp:coreProperties>
</file>