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0CABF" w14:textId="5E1BC98D" w:rsidR="00D23236" w:rsidRPr="00D23236" w:rsidRDefault="00543E17" w:rsidP="00543E17">
      <w:pPr>
        <w:pStyle w:val="Heading1"/>
        <w:spacing w:before="0"/>
        <w:jc w:val="center"/>
        <w:rPr>
          <w:rFonts w:ascii="Times New Roman" w:hAnsi="Times New Roman" w:cs="Times New Roman"/>
          <w:color w:val="000000"/>
          <w:sz w:val="26"/>
          <w:szCs w:val="26"/>
        </w:rPr>
      </w:pPr>
      <w:r w:rsidRPr="00D23236">
        <w:rPr>
          <w:rFonts w:ascii="Times New Roman" w:hAnsi="Times New Roman" w:cs="Times New Roman"/>
          <w:b/>
          <w:bCs/>
          <w:color w:val="000000"/>
          <w:sz w:val="26"/>
          <w:szCs w:val="26"/>
        </w:rPr>
        <w:t>NGUYÊN TẮC VÀ PHƯƠNG PHÁP HẠCH TOÁN TÀI KHOẢN 008 - DỰ TOÁN CHI HOẠT ĐỘNG TRONG CHẾ ĐỘ KẾ TOÁN HÀNH CHÍNH SỰ NGHIỆP THEO THÔNG TƯ 107/2017/TT-BTC</w:t>
      </w:r>
    </w:p>
    <w:p w14:paraId="0ABCA017" w14:textId="77777777" w:rsidR="00D23236" w:rsidRPr="00D23236" w:rsidRDefault="00D23236" w:rsidP="00D23236">
      <w:pPr>
        <w:pStyle w:val="NormalWeb"/>
        <w:spacing w:before="0" w:beforeAutospacing="0" w:after="0" w:afterAutospacing="0"/>
        <w:ind w:firstLine="567"/>
        <w:jc w:val="both"/>
        <w:rPr>
          <w:color w:val="000000"/>
          <w:sz w:val="26"/>
          <w:szCs w:val="26"/>
        </w:rPr>
      </w:pPr>
      <w:r w:rsidRPr="00D23236">
        <w:rPr>
          <w:color w:val="000000"/>
          <w:sz w:val="26"/>
          <w:szCs w:val="26"/>
        </w:rPr>
        <w:t>Thông tư số 107/2017/TT-BTC áp dụng cho các đối tượng sau: Cơ quan nhà nước; đơn vị sự nghiệp công lập, trừ các đơn vị sự nghiệp công lập tự đảm bảo chi thường xuyên và chi đầu tư được vận dụng cơ chế tài chính như doanh nghiệp, áp dụng chế độ kế toán doanh nghiệp khi đáp ứng đủ các điều kiện theo quy định hiện hành; tổ chức, đơn vị khác có hoặc không sử dụng ngân sách nhà nước.</w:t>
      </w:r>
    </w:p>
    <w:p w14:paraId="6620A9C8" w14:textId="77777777" w:rsidR="00D23236" w:rsidRPr="00D23236" w:rsidRDefault="00D23236" w:rsidP="00D23236">
      <w:pPr>
        <w:pStyle w:val="NormalWeb"/>
        <w:spacing w:before="0" w:beforeAutospacing="0" w:after="0" w:afterAutospacing="0"/>
        <w:ind w:firstLine="567"/>
        <w:jc w:val="both"/>
        <w:rPr>
          <w:color w:val="000000"/>
          <w:sz w:val="26"/>
          <w:szCs w:val="26"/>
        </w:rPr>
      </w:pPr>
      <w:r w:rsidRPr="00D23236">
        <w:rPr>
          <w:rStyle w:val="Strong"/>
          <w:color w:val="000000"/>
          <w:sz w:val="26"/>
          <w:szCs w:val="26"/>
        </w:rPr>
        <w:t>Khi hạch toán tài khoản dự toán chi hoạt động phải tuân thủ các nguyên tắc sau:</w:t>
      </w:r>
    </w:p>
    <w:p w14:paraId="0E1E4882" w14:textId="77777777" w:rsidR="00D23236" w:rsidRPr="00D23236" w:rsidRDefault="00D23236" w:rsidP="00D23236">
      <w:pPr>
        <w:pStyle w:val="NormalWeb"/>
        <w:spacing w:before="0" w:beforeAutospacing="0" w:after="0" w:afterAutospacing="0"/>
        <w:ind w:firstLine="567"/>
        <w:jc w:val="both"/>
        <w:rPr>
          <w:color w:val="000000"/>
          <w:sz w:val="26"/>
          <w:szCs w:val="26"/>
        </w:rPr>
      </w:pPr>
      <w:r w:rsidRPr="00D23236">
        <w:rPr>
          <w:rStyle w:val="Emphasis"/>
          <w:color w:val="000000"/>
          <w:sz w:val="26"/>
          <w:szCs w:val="26"/>
        </w:rPr>
        <w:t>Thứ nhất,</w:t>
      </w:r>
      <w:r w:rsidRPr="00D23236">
        <w:rPr>
          <w:rStyle w:val="apple-converted-space"/>
          <w:rFonts w:eastAsiaTheme="majorEastAsia"/>
          <w:color w:val="000000"/>
          <w:sz w:val="26"/>
          <w:szCs w:val="26"/>
        </w:rPr>
        <w:t> </w:t>
      </w:r>
      <w:r w:rsidRPr="00D23236">
        <w:rPr>
          <w:color w:val="000000"/>
          <w:sz w:val="26"/>
          <w:szCs w:val="26"/>
        </w:rPr>
        <w:t>tài khoản này dùng cho các đơn vị hành chính, sự nghiệp được ngân sách giao dự toán thường xuyên, không thường xuyên (kể cả nguồn viện trợ, tài trợ nhỏ lẻ, biếu tặng) để phản ánh số dự toán chi hoạt động được cấp có thẩm quyền giao và việc rút dự toán chi hoạt động ra sử dụng. Trường hợp viện trợ, tài trợ nhỏ lẻ (không theo nội dung, địa chỉ sử dụng cụ thể, không có dự toán được giao) thì đơn vị phải ghi nhận theo số ghi thu, ghi chi trong năm;</w:t>
      </w:r>
    </w:p>
    <w:p w14:paraId="3AD062EB" w14:textId="77777777" w:rsidR="00D23236" w:rsidRPr="00D23236" w:rsidRDefault="00D23236" w:rsidP="00D23236">
      <w:pPr>
        <w:pStyle w:val="NormalWeb"/>
        <w:spacing w:before="0" w:beforeAutospacing="0" w:after="0" w:afterAutospacing="0"/>
        <w:ind w:firstLine="567"/>
        <w:jc w:val="both"/>
        <w:rPr>
          <w:color w:val="000000"/>
          <w:sz w:val="26"/>
          <w:szCs w:val="26"/>
        </w:rPr>
      </w:pPr>
      <w:r w:rsidRPr="00D23236">
        <w:rPr>
          <w:rStyle w:val="Emphasis"/>
          <w:color w:val="000000"/>
          <w:sz w:val="26"/>
          <w:szCs w:val="26"/>
        </w:rPr>
        <w:t>Thứ hai,</w:t>
      </w:r>
      <w:r w:rsidRPr="00D23236">
        <w:rPr>
          <w:rStyle w:val="apple-converted-space"/>
          <w:rFonts w:eastAsiaTheme="majorEastAsia"/>
          <w:color w:val="000000"/>
          <w:sz w:val="26"/>
          <w:szCs w:val="26"/>
        </w:rPr>
        <w:t> </w:t>
      </w:r>
      <w:r w:rsidRPr="00D23236">
        <w:rPr>
          <w:color w:val="000000"/>
          <w:sz w:val="26"/>
          <w:szCs w:val="26"/>
        </w:rPr>
        <w:t>đối với các đơn vị sự nghiệp công tự đảm bảo một phần chi thường xuyên (do giá, phí dịch vụ sự nghiệp công chưa kết cấu đủ chi phí, được nhà nước đặt hàng, giao nhiệm vụ cung cấp dịch vụ sự nghiệp công theo giá, phí chưa tính đủ chi phí) thì số dự toán chi thường xuyên bao gồm cả kinh phí được nhà nước hỗ trợ phần chi phí chưa kết cấu trong giá, phí dịch vụ sự nghiệp công;</w:t>
      </w:r>
    </w:p>
    <w:p w14:paraId="676F93FB" w14:textId="77777777" w:rsidR="00D23236" w:rsidRPr="00D23236" w:rsidRDefault="00D23236" w:rsidP="00D23236">
      <w:pPr>
        <w:pStyle w:val="NormalWeb"/>
        <w:spacing w:before="0" w:beforeAutospacing="0" w:after="0" w:afterAutospacing="0"/>
        <w:ind w:firstLine="567"/>
        <w:jc w:val="both"/>
        <w:rPr>
          <w:color w:val="000000"/>
          <w:sz w:val="26"/>
          <w:szCs w:val="26"/>
        </w:rPr>
      </w:pPr>
      <w:r w:rsidRPr="00D23236">
        <w:rPr>
          <w:rStyle w:val="Emphasis"/>
          <w:color w:val="000000"/>
          <w:sz w:val="26"/>
          <w:szCs w:val="26"/>
        </w:rPr>
        <w:t>Thứ ba,</w:t>
      </w:r>
      <w:r w:rsidRPr="00D23236">
        <w:rPr>
          <w:rStyle w:val="apple-converted-space"/>
          <w:rFonts w:eastAsiaTheme="majorEastAsia"/>
          <w:i/>
          <w:iCs/>
          <w:color w:val="000000"/>
          <w:sz w:val="26"/>
          <w:szCs w:val="26"/>
        </w:rPr>
        <w:t> </w:t>
      </w:r>
      <w:r w:rsidRPr="00D23236">
        <w:rPr>
          <w:color w:val="000000"/>
          <w:sz w:val="26"/>
          <w:szCs w:val="26"/>
        </w:rPr>
        <w:t>tài khoản 008 được hạch toán khi đơn vị được cấp có thẩm quyền giao dự toán và rút dự toán để chi cho các hoạt động thường xuyên, không thường xuyên và phải được theo dõi chi tiết theo Mục lục NSNN, mở theo niên độ năm trước, năm nay và phục vụ lập báo cáo quyết toán ngân sách về tình hình giao và sử dụng dự toán trong năm của đơn vị;</w:t>
      </w:r>
    </w:p>
    <w:p w14:paraId="3E8CF061" w14:textId="77777777" w:rsidR="00D23236" w:rsidRPr="00D23236" w:rsidRDefault="00D23236" w:rsidP="00D23236">
      <w:pPr>
        <w:pStyle w:val="NormalWeb"/>
        <w:spacing w:before="0" w:beforeAutospacing="0" w:after="0" w:afterAutospacing="0"/>
        <w:ind w:firstLine="567"/>
        <w:jc w:val="both"/>
        <w:rPr>
          <w:color w:val="000000"/>
          <w:sz w:val="26"/>
          <w:szCs w:val="26"/>
        </w:rPr>
      </w:pPr>
      <w:r w:rsidRPr="00D23236">
        <w:rPr>
          <w:rStyle w:val="Emphasis"/>
          <w:color w:val="000000"/>
          <w:sz w:val="26"/>
          <w:szCs w:val="26"/>
        </w:rPr>
        <w:t>Thứ tư,</w:t>
      </w:r>
      <w:r w:rsidRPr="00D23236">
        <w:rPr>
          <w:rStyle w:val="apple-converted-space"/>
          <w:rFonts w:eastAsiaTheme="majorEastAsia"/>
          <w:i/>
          <w:iCs/>
          <w:color w:val="000000"/>
          <w:sz w:val="26"/>
          <w:szCs w:val="26"/>
        </w:rPr>
        <w:t> </w:t>
      </w:r>
      <w:r w:rsidRPr="00D23236">
        <w:rPr>
          <w:color w:val="000000"/>
          <w:sz w:val="26"/>
          <w:szCs w:val="26"/>
        </w:rPr>
        <w:t>đối với các khoản dự toán chi thường xuyên, không thường xuyên do NSNN cấp cho hoạt động của đơn vị, khi rút dự toán (kể cả rút về quỹ tiền mặt, về TK tiền gửi, thanh toán tạm ứng, thanh toán thực chi hay chi trực tiếp) phải hạch toán giảm dự toán tương ứng (Ghi Có TK 008- Dự toán chi hoạt động);</w:t>
      </w:r>
    </w:p>
    <w:p w14:paraId="3FEE9E2B" w14:textId="77777777" w:rsidR="00D23236" w:rsidRPr="00D23236" w:rsidRDefault="00D23236" w:rsidP="00D23236">
      <w:pPr>
        <w:pStyle w:val="NormalWeb"/>
        <w:spacing w:before="0" w:beforeAutospacing="0" w:after="0" w:afterAutospacing="0"/>
        <w:ind w:firstLine="567"/>
        <w:jc w:val="both"/>
        <w:rPr>
          <w:color w:val="000000"/>
          <w:sz w:val="26"/>
          <w:szCs w:val="26"/>
        </w:rPr>
      </w:pPr>
      <w:r w:rsidRPr="00D23236">
        <w:rPr>
          <w:rStyle w:val="Emphasis"/>
          <w:color w:val="000000"/>
          <w:sz w:val="26"/>
          <w:szCs w:val="26"/>
        </w:rPr>
        <w:t>Thứ năm,</w:t>
      </w:r>
      <w:r w:rsidRPr="00D23236">
        <w:rPr>
          <w:rStyle w:val="apple-converted-space"/>
          <w:rFonts w:eastAsiaTheme="majorEastAsia"/>
          <w:i/>
          <w:iCs/>
          <w:color w:val="000000"/>
          <w:sz w:val="26"/>
          <w:szCs w:val="26"/>
        </w:rPr>
        <w:t> </w:t>
      </w:r>
      <w:r w:rsidRPr="00D23236">
        <w:rPr>
          <w:color w:val="000000"/>
          <w:sz w:val="26"/>
          <w:szCs w:val="26"/>
        </w:rPr>
        <w:t>số điều chỉnh tăng dự toán trong năm bao gồm số giao dự toán bổ sung và các trường hợp khác làm tăng dự toán trong năm; số điều chỉnh giảm dự toán trong năm, bao gồm số dự toán giữ lại theo quy định và các trường hợp khác điều chỉnh giảm dự toán trong năm;</w:t>
      </w:r>
    </w:p>
    <w:p w14:paraId="4036A4CC" w14:textId="77777777" w:rsidR="00D23236" w:rsidRPr="00D23236" w:rsidRDefault="00D23236" w:rsidP="00D23236">
      <w:pPr>
        <w:pStyle w:val="NormalWeb"/>
        <w:spacing w:before="0" w:beforeAutospacing="0" w:after="0" w:afterAutospacing="0"/>
        <w:ind w:firstLine="567"/>
        <w:jc w:val="both"/>
        <w:rPr>
          <w:color w:val="000000"/>
          <w:sz w:val="26"/>
          <w:szCs w:val="26"/>
        </w:rPr>
      </w:pPr>
      <w:r w:rsidRPr="00D23236">
        <w:rPr>
          <w:rStyle w:val="Emphasis"/>
          <w:color w:val="000000"/>
          <w:sz w:val="26"/>
          <w:szCs w:val="26"/>
        </w:rPr>
        <w:t> Thứ sáu,</w:t>
      </w:r>
      <w:r w:rsidRPr="00D23236">
        <w:rPr>
          <w:rStyle w:val="apple-converted-space"/>
          <w:rFonts w:eastAsiaTheme="majorEastAsia"/>
          <w:i/>
          <w:iCs/>
          <w:color w:val="000000"/>
          <w:sz w:val="26"/>
          <w:szCs w:val="26"/>
        </w:rPr>
        <w:t> </w:t>
      </w:r>
      <w:r w:rsidRPr="00D23236">
        <w:rPr>
          <w:color w:val="000000"/>
          <w:sz w:val="26"/>
          <w:szCs w:val="26"/>
        </w:rPr>
        <w:t>trường hợp đơn vị được NSNN tạm cấp dự toán (trong thời gian chưa kịp giao dự toán chính thức), số tạm cấp dự toán chưa được hạch toán vào TK 008 (mà chỉ hạch toán các TK trong bảng). Khi được giao dự toán chính thức, đơn vị hạch toán bên Nợ TK 008 số dự toán được giao chính thức và đồng thời hạch toán bên Có TK 008 số tạm cấp dự toán đơn vị đã rút để sử dụng (00821, 00822).</w:t>
      </w:r>
    </w:p>
    <w:p w14:paraId="0B5D0366" w14:textId="77777777" w:rsidR="00D23236" w:rsidRPr="00D23236" w:rsidRDefault="00D23236" w:rsidP="00D23236">
      <w:pPr>
        <w:pStyle w:val="NormalWeb"/>
        <w:spacing w:before="0" w:beforeAutospacing="0" w:after="0" w:afterAutospacing="0"/>
        <w:ind w:firstLine="567"/>
        <w:jc w:val="both"/>
        <w:rPr>
          <w:color w:val="000000"/>
          <w:sz w:val="26"/>
          <w:szCs w:val="26"/>
        </w:rPr>
      </w:pPr>
      <w:r w:rsidRPr="00D23236">
        <w:rPr>
          <w:rStyle w:val="Emphasis"/>
          <w:color w:val="000000"/>
          <w:sz w:val="26"/>
          <w:szCs w:val="26"/>
        </w:rPr>
        <w:t>Thứ bảy,</w:t>
      </w:r>
      <w:r w:rsidRPr="00D23236">
        <w:rPr>
          <w:rStyle w:val="apple-converted-space"/>
          <w:rFonts w:eastAsiaTheme="majorEastAsia"/>
          <w:i/>
          <w:iCs/>
          <w:color w:val="000000"/>
          <w:sz w:val="26"/>
          <w:szCs w:val="26"/>
        </w:rPr>
        <w:t> </w:t>
      </w:r>
      <w:r w:rsidRPr="00D23236">
        <w:rPr>
          <w:color w:val="000000"/>
          <w:sz w:val="26"/>
          <w:szCs w:val="26"/>
        </w:rPr>
        <w:t>đơn vị phải mở sổ chi tiết theo dõi dự toán chi thường xuyên, không thường xuyên; số dự toán đã rút để sử dụng (trong đó chi tiết số chi tạm ứng từ dự toán, số thực chi từ dự toán); số dự toán đã cam kết chi (kể cả số hủy cam kết chi); số dự toán bị hủy hoặc phải nộp trả và số khôi phục dự toán.</w:t>
      </w:r>
    </w:p>
    <w:p w14:paraId="057BDA04" w14:textId="77777777" w:rsidR="00D23236" w:rsidRPr="00D23236" w:rsidRDefault="00D23236" w:rsidP="00D23236">
      <w:pPr>
        <w:pStyle w:val="NormalWeb"/>
        <w:spacing w:before="0" w:beforeAutospacing="0" w:after="0" w:afterAutospacing="0"/>
        <w:ind w:firstLine="567"/>
        <w:jc w:val="both"/>
        <w:rPr>
          <w:color w:val="000000"/>
          <w:sz w:val="26"/>
          <w:szCs w:val="26"/>
        </w:rPr>
      </w:pPr>
      <w:r w:rsidRPr="00D23236">
        <w:rPr>
          <w:rStyle w:val="Strong"/>
          <w:color w:val="000000"/>
          <w:sz w:val="26"/>
          <w:szCs w:val="26"/>
        </w:rPr>
        <w:t>Phương pháp hạch toán kế toán một số hoạt động kinh tế chủ yếu</w:t>
      </w:r>
    </w:p>
    <w:p w14:paraId="7B676D18" w14:textId="77777777" w:rsidR="00D23236" w:rsidRPr="00D23236" w:rsidRDefault="00D23236" w:rsidP="00D23236">
      <w:pPr>
        <w:numPr>
          <w:ilvl w:val="0"/>
          <w:numId w:val="31"/>
        </w:numPr>
        <w:rPr>
          <w:rFonts w:ascii="Times New Roman" w:hAnsi="Times New Roman" w:cs="Times New Roman"/>
          <w:color w:val="000000"/>
          <w:sz w:val="26"/>
          <w:szCs w:val="26"/>
        </w:rPr>
      </w:pPr>
      <w:r w:rsidRPr="00D23236">
        <w:rPr>
          <w:rStyle w:val="Emphasis"/>
          <w:rFonts w:ascii="Times New Roman" w:hAnsi="Times New Roman" w:cs="Times New Roman"/>
          <w:color w:val="000000"/>
          <w:sz w:val="26"/>
          <w:szCs w:val="26"/>
        </w:rPr>
        <w:lastRenderedPageBreak/>
        <w:t>Khi được cấp có thẩm quyền giao dự toán chi hoạt động trong năm, ghi:</w:t>
      </w:r>
    </w:p>
    <w:p w14:paraId="49D120E9" w14:textId="77777777" w:rsidR="00D23236" w:rsidRPr="00D23236" w:rsidRDefault="00D23236" w:rsidP="00D23236">
      <w:pPr>
        <w:pStyle w:val="NormalWeb"/>
        <w:spacing w:before="0" w:beforeAutospacing="0" w:after="0" w:afterAutospacing="0"/>
        <w:ind w:firstLine="567"/>
        <w:jc w:val="both"/>
        <w:rPr>
          <w:color w:val="000000"/>
          <w:sz w:val="26"/>
          <w:szCs w:val="26"/>
        </w:rPr>
      </w:pPr>
      <w:r w:rsidRPr="00D23236">
        <w:rPr>
          <w:color w:val="000000"/>
          <w:sz w:val="26"/>
          <w:szCs w:val="26"/>
        </w:rPr>
        <w:t>Nợ TK 008- Dự toán chi hoạt động (00821, 00822).</w:t>
      </w:r>
    </w:p>
    <w:p w14:paraId="76E879C3" w14:textId="77777777" w:rsidR="00D23236" w:rsidRPr="00D23236" w:rsidRDefault="00D23236" w:rsidP="00D23236">
      <w:pPr>
        <w:pStyle w:val="NormalWeb"/>
        <w:spacing w:before="0" w:beforeAutospacing="0" w:after="0" w:afterAutospacing="0"/>
        <w:ind w:firstLine="567"/>
        <w:jc w:val="both"/>
        <w:rPr>
          <w:color w:val="000000"/>
          <w:sz w:val="26"/>
          <w:szCs w:val="26"/>
        </w:rPr>
      </w:pPr>
      <w:r w:rsidRPr="00D23236">
        <w:rPr>
          <w:color w:val="000000"/>
          <w:sz w:val="26"/>
          <w:szCs w:val="26"/>
        </w:rPr>
        <w:t>Trường hợp đơn vị đã sử dụng dự toán tạm cấp, đồng thời ghi:</w:t>
      </w:r>
    </w:p>
    <w:p w14:paraId="4F9415FD" w14:textId="77777777" w:rsidR="00D23236" w:rsidRPr="00D23236" w:rsidRDefault="00D23236" w:rsidP="00D23236">
      <w:pPr>
        <w:pStyle w:val="NormalWeb"/>
        <w:spacing w:before="0" w:beforeAutospacing="0" w:after="0" w:afterAutospacing="0"/>
        <w:ind w:firstLine="567"/>
        <w:jc w:val="both"/>
        <w:rPr>
          <w:color w:val="000000"/>
          <w:sz w:val="26"/>
          <w:szCs w:val="26"/>
        </w:rPr>
      </w:pPr>
      <w:r w:rsidRPr="00D23236">
        <w:rPr>
          <w:color w:val="000000"/>
          <w:sz w:val="26"/>
          <w:szCs w:val="26"/>
        </w:rPr>
        <w:t>Có TK 008- Dự toán chi hoạt động (008211, 008212, 008221, 008222) (số dự toán đơn vị đã rút sử dụng).</w:t>
      </w:r>
    </w:p>
    <w:p w14:paraId="7F1C7754" w14:textId="77777777" w:rsidR="00D23236" w:rsidRPr="00D23236" w:rsidRDefault="00D23236" w:rsidP="00D23236">
      <w:pPr>
        <w:numPr>
          <w:ilvl w:val="0"/>
          <w:numId w:val="32"/>
        </w:numPr>
        <w:rPr>
          <w:rFonts w:ascii="Times New Roman" w:hAnsi="Times New Roman" w:cs="Times New Roman"/>
          <w:color w:val="000000"/>
          <w:sz w:val="26"/>
          <w:szCs w:val="26"/>
        </w:rPr>
      </w:pPr>
      <w:r w:rsidRPr="00D23236">
        <w:rPr>
          <w:rStyle w:val="Emphasis"/>
          <w:rFonts w:ascii="Times New Roman" w:hAnsi="Times New Roman" w:cs="Times New Roman"/>
          <w:color w:val="000000"/>
          <w:sz w:val="26"/>
          <w:szCs w:val="26"/>
        </w:rPr>
        <w:t>Khi đơn vị rút dự toán ra sử dụng cho các hoạt động thường xuyên, không thường xuyên (rút dự toán về quỹ tiền mặt hoặc tài khoản tiền gửi; rút dự toán cấp bù miễn, giảm học phí về TK tiền gửi thu học phí mở tại KBNN; rút dự toán chi hoạt động để nâng cấp, sửa chữa TSCĐ; rút dự toán mua TSCĐ, nguyên liệu, vật liệu, công cụ, dụng cụ...);</w:t>
      </w:r>
    </w:p>
    <w:p w14:paraId="021ACB5A" w14:textId="77777777" w:rsidR="00D23236" w:rsidRPr="00D23236" w:rsidRDefault="00D23236" w:rsidP="00D23236">
      <w:pPr>
        <w:pStyle w:val="NormalWeb"/>
        <w:spacing w:before="0" w:beforeAutospacing="0" w:after="0" w:afterAutospacing="0"/>
        <w:ind w:firstLine="567"/>
        <w:jc w:val="both"/>
        <w:rPr>
          <w:color w:val="000000"/>
          <w:sz w:val="26"/>
          <w:szCs w:val="26"/>
        </w:rPr>
      </w:pPr>
      <w:r w:rsidRPr="00D23236">
        <w:rPr>
          <w:color w:val="000000"/>
          <w:sz w:val="26"/>
          <w:szCs w:val="26"/>
        </w:rPr>
        <w:t>a) Trường hợp rút tạm ứng, ghi:</w:t>
      </w:r>
    </w:p>
    <w:p w14:paraId="58F7FCA8" w14:textId="77777777" w:rsidR="00D23236" w:rsidRPr="00D23236" w:rsidRDefault="00D23236" w:rsidP="00D23236">
      <w:pPr>
        <w:pStyle w:val="NormalWeb"/>
        <w:spacing w:before="0" w:beforeAutospacing="0" w:after="0" w:afterAutospacing="0"/>
        <w:ind w:firstLine="567"/>
        <w:jc w:val="both"/>
        <w:rPr>
          <w:color w:val="000000"/>
          <w:sz w:val="26"/>
          <w:szCs w:val="26"/>
        </w:rPr>
      </w:pPr>
      <w:r w:rsidRPr="00D23236">
        <w:rPr>
          <w:color w:val="000000"/>
          <w:sz w:val="26"/>
          <w:szCs w:val="26"/>
        </w:rPr>
        <w:t>Có TK 008- Dự toán chi hoạt động (008211, 008221).</w:t>
      </w:r>
    </w:p>
    <w:p w14:paraId="3CA4A561" w14:textId="77777777" w:rsidR="00D23236" w:rsidRPr="00D23236" w:rsidRDefault="00D23236" w:rsidP="00D23236">
      <w:pPr>
        <w:pStyle w:val="NormalWeb"/>
        <w:spacing w:before="0" w:beforeAutospacing="0" w:after="0" w:afterAutospacing="0"/>
        <w:ind w:firstLine="567"/>
        <w:jc w:val="both"/>
        <w:rPr>
          <w:color w:val="000000"/>
          <w:sz w:val="26"/>
          <w:szCs w:val="26"/>
        </w:rPr>
      </w:pPr>
      <w:r w:rsidRPr="00D23236">
        <w:rPr>
          <w:color w:val="000000"/>
          <w:sz w:val="26"/>
          <w:szCs w:val="26"/>
        </w:rPr>
        <w:t>Khi làm thủ tục thanh toán tạm ứng, ghi:</w:t>
      </w:r>
    </w:p>
    <w:p w14:paraId="13695DBF" w14:textId="77777777" w:rsidR="00D23236" w:rsidRPr="00D23236" w:rsidRDefault="00D23236" w:rsidP="00D23236">
      <w:pPr>
        <w:pStyle w:val="NormalWeb"/>
        <w:spacing w:before="0" w:beforeAutospacing="0" w:after="0" w:afterAutospacing="0"/>
        <w:ind w:firstLine="567"/>
        <w:jc w:val="both"/>
        <w:rPr>
          <w:color w:val="000000"/>
          <w:sz w:val="26"/>
          <w:szCs w:val="26"/>
        </w:rPr>
      </w:pPr>
      <w:r w:rsidRPr="00D23236">
        <w:rPr>
          <w:color w:val="000000"/>
          <w:sz w:val="26"/>
          <w:szCs w:val="26"/>
        </w:rPr>
        <w:t>Có TK 008- Dự toán chi hoạt động (008211, 008221) (ghi âm).</w:t>
      </w:r>
    </w:p>
    <w:p w14:paraId="4C3E2441" w14:textId="77777777" w:rsidR="00D23236" w:rsidRPr="00D23236" w:rsidRDefault="00D23236" w:rsidP="00D23236">
      <w:pPr>
        <w:pStyle w:val="NormalWeb"/>
        <w:spacing w:before="0" w:beforeAutospacing="0" w:after="0" w:afterAutospacing="0"/>
        <w:ind w:firstLine="567"/>
        <w:jc w:val="both"/>
        <w:rPr>
          <w:color w:val="000000"/>
          <w:sz w:val="26"/>
          <w:szCs w:val="26"/>
        </w:rPr>
      </w:pPr>
      <w:r w:rsidRPr="00D23236">
        <w:rPr>
          <w:color w:val="000000"/>
          <w:sz w:val="26"/>
          <w:szCs w:val="26"/>
        </w:rPr>
        <w:t>Đồng thời, ghi:</w:t>
      </w:r>
    </w:p>
    <w:p w14:paraId="0701B07A" w14:textId="77777777" w:rsidR="00D23236" w:rsidRPr="00D23236" w:rsidRDefault="00D23236" w:rsidP="00D23236">
      <w:pPr>
        <w:pStyle w:val="NormalWeb"/>
        <w:spacing w:before="0" w:beforeAutospacing="0" w:after="0" w:afterAutospacing="0"/>
        <w:ind w:firstLine="567"/>
        <w:jc w:val="both"/>
        <w:rPr>
          <w:color w:val="000000"/>
          <w:sz w:val="26"/>
          <w:szCs w:val="26"/>
        </w:rPr>
      </w:pPr>
      <w:r w:rsidRPr="00D23236">
        <w:rPr>
          <w:color w:val="000000"/>
          <w:sz w:val="26"/>
          <w:szCs w:val="26"/>
        </w:rPr>
        <w:t>Có TK 008- Dự toán chi hoạt động (008212, 008222) (ghi dương).</w:t>
      </w:r>
    </w:p>
    <w:p w14:paraId="66DBEA25" w14:textId="77777777" w:rsidR="00D23236" w:rsidRPr="00D23236" w:rsidRDefault="00D23236" w:rsidP="00D23236">
      <w:pPr>
        <w:pStyle w:val="NormalWeb"/>
        <w:spacing w:before="0" w:beforeAutospacing="0" w:after="0" w:afterAutospacing="0"/>
        <w:ind w:firstLine="567"/>
        <w:jc w:val="both"/>
        <w:rPr>
          <w:color w:val="000000"/>
          <w:sz w:val="26"/>
          <w:szCs w:val="26"/>
        </w:rPr>
      </w:pPr>
      <w:r w:rsidRPr="00D23236">
        <w:rPr>
          <w:color w:val="000000"/>
          <w:sz w:val="26"/>
          <w:szCs w:val="26"/>
        </w:rPr>
        <w:t>b) Trường hợp rút dự toán (rút thực chi) để sử dụng cho các hoạt động thường xuyên, không thường xuyên:</w:t>
      </w:r>
    </w:p>
    <w:p w14:paraId="1DB285A1" w14:textId="77777777" w:rsidR="00D23236" w:rsidRPr="00D23236" w:rsidRDefault="00D23236" w:rsidP="00D23236">
      <w:pPr>
        <w:pStyle w:val="NormalWeb"/>
        <w:spacing w:before="0" w:beforeAutospacing="0" w:after="0" w:afterAutospacing="0"/>
        <w:ind w:firstLine="567"/>
        <w:jc w:val="both"/>
        <w:rPr>
          <w:color w:val="000000"/>
          <w:sz w:val="26"/>
          <w:szCs w:val="26"/>
        </w:rPr>
      </w:pPr>
      <w:r w:rsidRPr="00D23236">
        <w:rPr>
          <w:color w:val="000000"/>
          <w:sz w:val="26"/>
          <w:szCs w:val="26"/>
        </w:rPr>
        <w:t>Có TK 008- Dự toán chi hoạt động (008212, 008222).</w:t>
      </w:r>
    </w:p>
    <w:p w14:paraId="64BD3273" w14:textId="77777777" w:rsidR="00D23236" w:rsidRPr="00D23236" w:rsidRDefault="00D23236" w:rsidP="00D23236">
      <w:pPr>
        <w:numPr>
          <w:ilvl w:val="0"/>
          <w:numId w:val="33"/>
        </w:numPr>
        <w:rPr>
          <w:rFonts w:ascii="Times New Roman" w:hAnsi="Times New Roman" w:cs="Times New Roman"/>
          <w:color w:val="000000"/>
          <w:sz w:val="26"/>
          <w:szCs w:val="26"/>
        </w:rPr>
      </w:pPr>
      <w:r w:rsidRPr="00D23236">
        <w:rPr>
          <w:rStyle w:val="Emphasis"/>
          <w:rFonts w:ascii="Times New Roman" w:hAnsi="Times New Roman" w:cs="Times New Roman"/>
          <w:color w:val="000000"/>
          <w:sz w:val="26"/>
          <w:szCs w:val="26"/>
        </w:rPr>
        <w:t>Trường hợp cuối năm, xác định được số tiết kiệm chi thường xuyên để trích lập các Quỹ, căn cứ quyết định trích lập Quỹ, rút dự toán chi thường xuyên vào TK tiền gửi tại KBNN theo số quỹ được trích lập, ghi:</w:t>
      </w:r>
    </w:p>
    <w:p w14:paraId="49455220" w14:textId="77777777" w:rsidR="00D23236" w:rsidRPr="00D23236" w:rsidRDefault="00D23236" w:rsidP="00D23236">
      <w:pPr>
        <w:pStyle w:val="NormalWeb"/>
        <w:spacing w:before="0" w:beforeAutospacing="0" w:after="0" w:afterAutospacing="0"/>
        <w:ind w:firstLine="567"/>
        <w:jc w:val="both"/>
        <w:rPr>
          <w:color w:val="000000"/>
          <w:sz w:val="26"/>
          <w:szCs w:val="26"/>
        </w:rPr>
      </w:pPr>
      <w:r w:rsidRPr="00D23236">
        <w:rPr>
          <w:color w:val="000000"/>
          <w:sz w:val="26"/>
          <w:szCs w:val="26"/>
        </w:rPr>
        <w:t>Có TK 008- Dự toán chi hoạt động (008212).</w:t>
      </w:r>
    </w:p>
    <w:p w14:paraId="036C6221" w14:textId="77777777" w:rsidR="00D23236" w:rsidRPr="00D23236" w:rsidRDefault="00D23236" w:rsidP="00D23236">
      <w:pPr>
        <w:numPr>
          <w:ilvl w:val="0"/>
          <w:numId w:val="34"/>
        </w:numPr>
        <w:rPr>
          <w:rFonts w:ascii="Times New Roman" w:hAnsi="Times New Roman" w:cs="Times New Roman"/>
          <w:color w:val="000000"/>
          <w:sz w:val="26"/>
          <w:szCs w:val="26"/>
        </w:rPr>
      </w:pPr>
      <w:r w:rsidRPr="00D23236">
        <w:rPr>
          <w:rStyle w:val="Emphasis"/>
          <w:rFonts w:ascii="Times New Roman" w:hAnsi="Times New Roman" w:cs="Times New Roman"/>
          <w:color w:val="000000"/>
          <w:sz w:val="26"/>
          <w:szCs w:val="26"/>
        </w:rPr>
        <w:t>Trường hợp đơn vị bị hủy dự toán, ghi:</w:t>
      </w:r>
    </w:p>
    <w:p w14:paraId="6FFD50EB" w14:textId="77777777" w:rsidR="00D23236" w:rsidRPr="00D23236" w:rsidRDefault="00D23236" w:rsidP="00D23236">
      <w:pPr>
        <w:pStyle w:val="NormalWeb"/>
        <w:spacing w:before="0" w:beforeAutospacing="0" w:after="0" w:afterAutospacing="0"/>
        <w:ind w:firstLine="567"/>
        <w:jc w:val="both"/>
        <w:rPr>
          <w:color w:val="000000"/>
          <w:sz w:val="26"/>
          <w:szCs w:val="26"/>
        </w:rPr>
      </w:pPr>
      <w:r w:rsidRPr="00D23236">
        <w:rPr>
          <w:color w:val="000000"/>
          <w:sz w:val="26"/>
          <w:szCs w:val="26"/>
        </w:rPr>
        <w:t>Nợ TK 008- Dự toán chi hoạt động (00821, 00822) (ghi âm).</w:t>
      </w:r>
    </w:p>
    <w:p w14:paraId="64164BC4" w14:textId="77777777" w:rsidR="00D23236" w:rsidRPr="00D23236" w:rsidRDefault="00D23236" w:rsidP="00D23236">
      <w:pPr>
        <w:numPr>
          <w:ilvl w:val="0"/>
          <w:numId w:val="35"/>
        </w:numPr>
        <w:rPr>
          <w:rFonts w:ascii="Times New Roman" w:hAnsi="Times New Roman" w:cs="Times New Roman"/>
          <w:color w:val="000000"/>
          <w:sz w:val="26"/>
          <w:szCs w:val="26"/>
        </w:rPr>
      </w:pPr>
      <w:r w:rsidRPr="00D23236">
        <w:rPr>
          <w:rStyle w:val="Emphasis"/>
          <w:rFonts w:ascii="Times New Roman" w:hAnsi="Times New Roman" w:cs="Times New Roman"/>
          <w:color w:val="000000"/>
          <w:sz w:val="26"/>
          <w:szCs w:val="26"/>
        </w:rPr>
        <w:t>Cuối kỳ kế toán năm, các khoản chi chưa được cấp có thẩm quyền phê duyệt quyết toán:</w:t>
      </w:r>
    </w:p>
    <w:p w14:paraId="46659CE8" w14:textId="77777777" w:rsidR="00D23236" w:rsidRPr="00D23236" w:rsidRDefault="00D23236" w:rsidP="00D23236">
      <w:pPr>
        <w:pStyle w:val="NormalWeb"/>
        <w:spacing w:before="0" w:beforeAutospacing="0" w:after="0" w:afterAutospacing="0"/>
        <w:ind w:firstLine="567"/>
        <w:jc w:val="both"/>
        <w:rPr>
          <w:color w:val="000000"/>
          <w:sz w:val="26"/>
          <w:szCs w:val="26"/>
        </w:rPr>
      </w:pPr>
      <w:r w:rsidRPr="00D23236">
        <w:rPr>
          <w:color w:val="000000"/>
          <w:sz w:val="26"/>
          <w:szCs w:val="26"/>
        </w:rPr>
        <w:t>- Kế toán phải kết chuyển toàn bộ số phát sinh bên Nợ của TK năm nay sang TK năm trước để chờ phê duyệt quyết toán, ghi:</w:t>
      </w:r>
    </w:p>
    <w:p w14:paraId="4341500A" w14:textId="77777777" w:rsidR="00D23236" w:rsidRPr="00D23236" w:rsidRDefault="00D23236" w:rsidP="00D23236">
      <w:pPr>
        <w:pStyle w:val="NormalWeb"/>
        <w:spacing w:before="0" w:beforeAutospacing="0" w:after="0" w:afterAutospacing="0"/>
        <w:ind w:firstLine="567"/>
        <w:jc w:val="both"/>
        <w:rPr>
          <w:color w:val="000000"/>
          <w:sz w:val="26"/>
          <w:szCs w:val="26"/>
        </w:rPr>
      </w:pPr>
      <w:r w:rsidRPr="00D23236">
        <w:rPr>
          <w:color w:val="000000"/>
          <w:sz w:val="26"/>
          <w:szCs w:val="26"/>
        </w:rPr>
        <w:t>Nợ TK 008- Dự toán chi hoạt động (00821, 00822) (ghi âm).</w:t>
      </w:r>
    </w:p>
    <w:p w14:paraId="3BA86EB8" w14:textId="77777777" w:rsidR="00D23236" w:rsidRPr="00D23236" w:rsidRDefault="00D23236" w:rsidP="00D23236">
      <w:pPr>
        <w:pStyle w:val="NormalWeb"/>
        <w:spacing w:before="0" w:beforeAutospacing="0" w:after="0" w:afterAutospacing="0"/>
        <w:ind w:firstLine="567"/>
        <w:jc w:val="both"/>
        <w:rPr>
          <w:color w:val="000000"/>
          <w:sz w:val="26"/>
          <w:szCs w:val="26"/>
        </w:rPr>
      </w:pPr>
      <w:r w:rsidRPr="00D23236">
        <w:rPr>
          <w:color w:val="000000"/>
          <w:sz w:val="26"/>
          <w:szCs w:val="26"/>
        </w:rPr>
        <w:t>Đồng thời, ghi:</w:t>
      </w:r>
    </w:p>
    <w:p w14:paraId="47AC4F93" w14:textId="77777777" w:rsidR="00D23236" w:rsidRPr="00D23236" w:rsidRDefault="00D23236" w:rsidP="00D23236">
      <w:pPr>
        <w:pStyle w:val="NormalWeb"/>
        <w:spacing w:before="0" w:beforeAutospacing="0" w:after="0" w:afterAutospacing="0"/>
        <w:ind w:firstLine="567"/>
        <w:jc w:val="both"/>
        <w:rPr>
          <w:color w:val="000000"/>
          <w:sz w:val="26"/>
          <w:szCs w:val="26"/>
        </w:rPr>
      </w:pPr>
      <w:r w:rsidRPr="00D23236">
        <w:rPr>
          <w:color w:val="000000"/>
          <w:sz w:val="26"/>
          <w:szCs w:val="26"/>
        </w:rPr>
        <w:t>Nợ TK 008- Dự toán chi hoạt động (00811, 00812) (ghi dương).</w:t>
      </w:r>
    </w:p>
    <w:p w14:paraId="3875A63A" w14:textId="77777777" w:rsidR="00D23236" w:rsidRPr="00D23236" w:rsidRDefault="00D23236" w:rsidP="00D23236">
      <w:pPr>
        <w:pStyle w:val="NormalWeb"/>
        <w:spacing w:before="0" w:beforeAutospacing="0" w:after="0" w:afterAutospacing="0"/>
        <w:ind w:firstLine="567"/>
        <w:jc w:val="both"/>
        <w:rPr>
          <w:color w:val="000000"/>
          <w:sz w:val="26"/>
          <w:szCs w:val="26"/>
        </w:rPr>
      </w:pPr>
      <w:r w:rsidRPr="00D23236">
        <w:rPr>
          <w:color w:val="000000"/>
          <w:sz w:val="26"/>
          <w:szCs w:val="26"/>
        </w:rPr>
        <w:t>- Kế toán phải kết chuyển toàn bộ số phát sinh bên Có của TK năm nay sang TK năm trước để chờ phê duyệt quyết toán, ghi:</w:t>
      </w:r>
    </w:p>
    <w:p w14:paraId="1476C129" w14:textId="77777777" w:rsidR="00D23236" w:rsidRPr="00D23236" w:rsidRDefault="00D23236" w:rsidP="00D23236">
      <w:pPr>
        <w:pStyle w:val="NormalWeb"/>
        <w:spacing w:before="0" w:beforeAutospacing="0" w:after="0" w:afterAutospacing="0"/>
        <w:ind w:firstLine="567"/>
        <w:jc w:val="both"/>
        <w:rPr>
          <w:color w:val="000000"/>
          <w:sz w:val="26"/>
          <w:szCs w:val="26"/>
        </w:rPr>
      </w:pPr>
      <w:r w:rsidRPr="00D23236">
        <w:rPr>
          <w:color w:val="000000"/>
          <w:sz w:val="26"/>
          <w:szCs w:val="26"/>
        </w:rPr>
        <w:t>Có TK 008- Dự toán chi hoạt động (00821, 00822) (ghi âm).</w:t>
      </w:r>
      <w:r w:rsidRPr="00D23236">
        <w:rPr>
          <w:rStyle w:val="apple-converted-space"/>
          <w:rFonts w:eastAsiaTheme="majorEastAsia"/>
          <w:color w:val="000000"/>
          <w:sz w:val="26"/>
          <w:szCs w:val="26"/>
        </w:rPr>
        <w:t> </w:t>
      </w:r>
    </w:p>
    <w:p w14:paraId="2ADCFD50" w14:textId="77777777" w:rsidR="00D23236" w:rsidRPr="00D23236" w:rsidRDefault="00D23236" w:rsidP="00D23236">
      <w:pPr>
        <w:pStyle w:val="NormalWeb"/>
        <w:spacing w:before="0" w:beforeAutospacing="0" w:after="0" w:afterAutospacing="0"/>
        <w:jc w:val="both"/>
        <w:rPr>
          <w:color w:val="000000"/>
          <w:sz w:val="26"/>
          <w:szCs w:val="26"/>
        </w:rPr>
      </w:pPr>
      <w:r w:rsidRPr="00D23236">
        <w:rPr>
          <w:color w:val="000000"/>
          <w:sz w:val="26"/>
          <w:szCs w:val="26"/>
        </w:rPr>
        <w:t>Đồng thời, ghi:</w:t>
      </w:r>
    </w:p>
    <w:p w14:paraId="7AEEC179" w14:textId="77777777" w:rsidR="00D23236" w:rsidRPr="00D23236" w:rsidRDefault="00D23236" w:rsidP="00D23236">
      <w:pPr>
        <w:pStyle w:val="NormalWeb"/>
        <w:spacing w:before="0" w:beforeAutospacing="0" w:after="0" w:afterAutospacing="0"/>
        <w:ind w:firstLine="567"/>
        <w:jc w:val="both"/>
        <w:rPr>
          <w:color w:val="000000"/>
          <w:sz w:val="26"/>
          <w:szCs w:val="26"/>
        </w:rPr>
      </w:pPr>
      <w:r w:rsidRPr="00D23236">
        <w:rPr>
          <w:color w:val="000000"/>
          <w:sz w:val="26"/>
          <w:szCs w:val="26"/>
        </w:rPr>
        <w:t>Có TK 008- Dự toán chi hoạt động (00811, 00812) (ghi dương).</w:t>
      </w:r>
    </w:p>
    <w:p w14:paraId="34812FE0" w14:textId="77777777" w:rsidR="00D23236" w:rsidRPr="00D23236" w:rsidRDefault="00D23236" w:rsidP="00D23236">
      <w:pPr>
        <w:numPr>
          <w:ilvl w:val="0"/>
          <w:numId w:val="36"/>
        </w:numPr>
        <w:rPr>
          <w:rFonts w:ascii="Times New Roman" w:hAnsi="Times New Roman" w:cs="Times New Roman"/>
          <w:color w:val="000000"/>
          <w:sz w:val="26"/>
          <w:szCs w:val="26"/>
        </w:rPr>
      </w:pPr>
      <w:r w:rsidRPr="00D23236">
        <w:rPr>
          <w:rStyle w:val="Emphasis"/>
          <w:rFonts w:ascii="Times New Roman" w:hAnsi="Times New Roman" w:cs="Times New Roman"/>
          <w:color w:val="000000"/>
          <w:sz w:val="26"/>
          <w:szCs w:val="26"/>
        </w:rPr>
        <w:t>Trường hợp nộp khôi phục dự toán hoặc nộp trả dự toán từ khoản đã thực chi theo đúng năm ngân sách tương ứng, ghi:</w:t>
      </w:r>
    </w:p>
    <w:p w14:paraId="5B167406" w14:textId="77777777" w:rsidR="00D23236" w:rsidRPr="00D23236" w:rsidRDefault="00D23236" w:rsidP="00D23236">
      <w:pPr>
        <w:pStyle w:val="NormalWeb"/>
        <w:spacing w:before="0" w:beforeAutospacing="0" w:after="0" w:afterAutospacing="0"/>
        <w:ind w:firstLine="567"/>
        <w:jc w:val="both"/>
        <w:rPr>
          <w:color w:val="000000"/>
          <w:sz w:val="26"/>
          <w:szCs w:val="26"/>
        </w:rPr>
      </w:pPr>
      <w:r w:rsidRPr="00D23236">
        <w:rPr>
          <w:color w:val="000000"/>
          <w:sz w:val="26"/>
          <w:szCs w:val="26"/>
        </w:rPr>
        <w:t>Có TK 008- Dự toán chi hoạt động (008112, 008122, 008212, 008222) (ghi âm).</w:t>
      </w:r>
    </w:p>
    <w:p w14:paraId="076DE73F" w14:textId="77777777" w:rsidR="00D23236" w:rsidRPr="00D23236" w:rsidRDefault="00D23236" w:rsidP="00D23236">
      <w:pPr>
        <w:numPr>
          <w:ilvl w:val="0"/>
          <w:numId w:val="37"/>
        </w:numPr>
        <w:rPr>
          <w:rFonts w:ascii="Times New Roman" w:hAnsi="Times New Roman" w:cs="Times New Roman"/>
          <w:color w:val="000000"/>
          <w:sz w:val="26"/>
          <w:szCs w:val="26"/>
        </w:rPr>
      </w:pPr>
      <w:r w:rsidRPr="00D23236">
        <w:rPr>
          <w:rStyle w:val="Emphasis"/>
          <w:rFonts w:ascii="Times New Roman" w:hAnsi="Times New Roman" w:cs="Times New Roman"/>
          <w:color w:val="000000"/>
          <w:sz w:val="26"/>
          <w:szCs w:val="26"/>
        </w:rPr>
        <w:t>Trường hợp nộp trả các khoản tạm ứng cho NSNN theo đúng năm ngân sách tương ứng, ghi:</w:t>
      </w:r>
    </w:p>
    <w:p w14:paraId="1E4CFFEE" w14:textId="77777777" w:rsidR="00D23236" w:rsidRPr="00D23236" w:rsidRDefault="00D23236" w:rsidP="00D23236">
      <w:pPr>
        <w:pStyle w:val="NormalWeb"/>
        <w:spacing w:before="0" w:beforeAutospacing="0" w:after="0" w:afterAutospacing="0"/>
        <w:ind w:firstLine="567"/>
        <w:jc w:val="both"/>
        <w:rPr>
          <w:color w:val="000000"/>
          <w:sz w:val="26"/>
          <w:szCs w:val="26"/>
        </w:rPr>
      </w:pPr>
      <w:r w:rsidRPr="00D23236">
        <w:rPr>
          <w:color w:val="000000"/>
          <w:sz w:val="26"/>
          <w:szCs w:val="26"/>
        </w:rPr>
        <w:t>Có TK 008- Dự toán chi hoạt động (008111, 008121, 008211, 008221) (ghi âm).</w:t>
      </w:r>
    </w:p>
    <w:p w14:paraId="0B030F1A" w14:textId="77777777" w:rsidR="00D23236" w:rsidRPr="00D23236" w:rsidRDefault="00D23236" w:rsidP="00D23236">
      <w:pPr>
        <w:numPr>
          <w:ilvl w:val="0"/>
          <w:numId w:val="38"/>
        </w:numPr>
        <w:rPr>
          <w:rFonts w:ascii="Times New Roman" w:hAnsi="Times New Roman" w:cs="Times New Roman"/>
          <w:color w:val="000000"/>
          <w:sz w:val="26"/>
          <w:szCs w:val="26"/>
        </w:rPr>
      </w:pPr>
      <w:r w:rsidRPr="00D23236">
        <w:rPr>
          <w:rStyle w:val="Emphasis"/>
          <w:rFonts w:ascii="Times New Roman" w:hAnsi="Times New Roman" w:cs="Times New Roman"/>
          <w:color w:val="000000"/>
          <w:sz w:val="26"/>
          <w:szCs w:val="26"/>
        </w:rPr>
        <w:lastRenderedPageBreak/>
        <w:t>Trường hợp các khoản tạm ứng, thực chi từ dự toán ngân sách năm trước được chuyển sang năm nay quyết toán, ghi:</w:t>
      </w:r>
    </w:p>
    <w:p w14:paraId="0F67106C" w14:textId="77777777" w:rsidR="00D23236" w:rsidRPr="00D23236" w:rsidRDefault="00D23236" w:rsidP="00D23236">
      <w:pPr>
        <w:pStyle w:val="NormalWeb"/>
        <w:spacing w:before="0" w:beforeAutospacing="0" w:after="0" w:afterAutospacing="0"/>
        <w:ind w:firstLine="567"/>
        <w:jc w:val="both"/>
        <w:rPr>
          <w:color w:val="000000"/>
          <w:sz w:val="26"/>
          <w:szCs w:val="26"/>
        </w:rPr>
      </w:pPr>
      <w:r w:rsidRPr="00D23236">
        <w:rPr>
          <w:color w:val="000000"/>
          <w:sz w:val="26"/>
          <w:szCs w:val="26"/>
        </w:rPr>
        <w:t>Có TK 008- Dự toán chi hoạt động (008111, 008112, 008121, 008122) (ghi âm).</w:t>
      </w:r>
    </w:p>
    <w:p w14:paraId="7FEDA6A5" w14:textId="77777777" w:rsidR="00D23236" w:rsidRPr="00D23236" w:rsidRDefault="00D23236" w:rsidP="00D23236">
      <w:pPr>
        <w:pStyle w:val="NormalWeb"/>
        <w:spacing w:before="0" w:beforeAutospacing="0" w:after="0" w:afterAutospacing="0"/>
        <w:jc w:val="both"/>
        <w:rPr>
          <w:color w:val="000000"/>
          <w:sz w:val="26"/>
          <w:szCs w:val="26"/>
        </w:rPr>
      </w:pPr>
      <w:r w:rsidRPr="00D23236">
        <w:rPr>
          <w:color w:val="000000"/>
          <w:sz w:val="26"/>
          <w:szCs w:val="26"/>
        </w:rPr>
        <w:t>Đồng thời, ghi:</w:t>
      </w:r>
    </w:p>
    <w:p w14:paraId="5B1EF69C" w14:textId="77777777" w:rsidR="00D23236" w:rsidRPr="00D23236" w:rsidRDefault="00D23236" w:rsidP="00D23236">
      <w:pPr>
        <w:pStyle w:val="NormalWeb"/>
        <w:spacing w:before="0" w:beforeAutospacing="0" w:after="0" w:afterAutospacing="0"/>
        <w:ind w:firstLine="567"/>
        <w:jc w:val="both"/>
        <w:rPr>
          <w:color w:val="000000"/>
          <w:sz w:val="26"/>
          <w:szCs w:val="26"/>
        </w:rPr>
      </w:pPr>
      <w:r w:rsidRPr="00D23236">
        <w:rPr>
          <w:color w:val="000000"/>
          <w:sz w:val="26"/>
          <w:szCs w:val="26"/>
        </w:rPr>
        <w:t>Có TK 008- Dự toán chi hoạt động (008211, 008212, 008221, 008222) (ghi dương).</w:t>
      </w:r>
    </w:p>
    <w:p w14:paraId="4DE7A373" w14:textId="77777777" w:rsidR="00D23236" w:rsidRPr="00D23236" w:rsidRDefault="00D23236" w:rsidP="00D23236">
      <w:pPr>
        <w:numPr>
          <w:ilvl w:val="0"/>
          <w:numId w:val="39"/>
        </w:numPr>
        <w:rPr>
          <w:rFonts w:ascii="Times New Roman" w:hAnsi="Times New Roman" w:cs="Times New Roman"/>
          <w:color w:val="000000"/>
          <w:sz w:val="26"/>
          <w:szCs w:val="26"/>
        </w:rPr>
      </w:pPr>
      <w:r w:rsidRPr="00D23236">
        <w:rPr>
          <w:rStyle w:val="Emphasis"/>
          <w:rFonts w:ascii="Times New Roman" w:hAnsi="Times New Roman" w:cs="Times New Roman"/>
          <w:color w:val="000000"/>
          <w:sz w:val="26"/>
          <w:szCs w:val="26"/>
        </w:rPr>
        <w:t>Khi báo cáo được cấp có thẩm quyền phê duyệt quyết toán, ghi:</w:t>
      </w:r>
    </w:p>
    <w:p w14:paraId="4A765861" w14:textId="77777777" w:rsidR="00D23236" w:rsidRPr="00D23236" w:rsidRDefault="00D23236" w:rsidP="00D23236">
      <w:pPr>
        <w:pStyle w:val="NormalWeb"/>
        <w:spacing w:before="0" w:beforeAutospacing="0" w:after="0" w:afterAutospacing="0"/>
        <w:ind w:firstLine="567"/>
        <w:jc w:val="both"/>
        <w:rPr>
          <w:color w:val="000000"/>
          <w:sz w:val="26"/>
          <w:szCs w:val="26"/>
        </w:rPr>
      </w:pPr>
      <w:r w:rsidRPr="00D23236">
        <w:rPr>
          <w:color w:val="000000"/>
          <w:sz w:val="26"/>
          <w:szCs w:val="26"/>
        </w:rPr>
        <w:t>Nợ TK 008- Dự toán chi hoạt động (0081) (ghi âm).</w:t>
      </w:r>
    </w:p>
    <w:p w14:paraId="392966C4" w14:textId="77777777" w:rsidR="00D23236" w:rsidRPr="00D23236" w:rsidRDefault="00D23236" w:rsidP="00D23236">
      <w:pPr>
        <w:pStyle w:val="NormalWeb"/>
        <w:spacing w:before="0" w:beforeAutospacing="0" w:after="0" w:afterAutospacing="0"/>
        <w:ind w:firstLine="567"/>
        <w:jc w:val="both"/>
        <w:rPr>
          <w:color w:val="000000"/>
          <w:sz w:val="26"/>
          <w:szCs w:val="26"/>
        </w:rPr>
      </w:pPr>
      <w:r w:rsidRPr="00D23236">
        <w:rPr>
          <w:color w:val="000000"/>
          <w:sz w:val="26"/>
          <w:szCs w:val="26"/>
        </w:rPr>
        <w:t>Đồng thời, ghi:</w:t>
      </w:r>
    </w:p>
    <w:p w14:paraId="04584BC4" w14:textId="77777777" w:rsidR="00D23236" w:rsidRPr="00D23236" w:rsidRDefault="00D23236" w:rsidP="00D23236">
      <w:pPr>
        <w:pStyle w:val="NormalWeb"/>
        <w:spacing w:before="0" w:beforeAutospacing="0" w:after="0" w:afterAutospacing="0"/>
        <w:ind w:firstLine="567"/>
        <w:jc w:val="both"/>
        <w:rPr>
          <w:color w:val="000000"/>
          <w:sz w:val="26"/>
          <w:szCs w:val="26"/>
        </w:rPr>
      </w:pPr>
      <w:r w:rsidRPr="00D23236">
        <w:rPr>
          <w:color w:val="000000"/>
          <w:sz w:val="26"/>
          <w:szCs w:val="26"/>
        </w:rPr>
        <w:t>Có TK 008- Dự toán chi hoạt động (0081) (ghi âm).</w:t>
      </w:r>
    </w:p>
    <w:p w14:paraId="6488831D" w14:textId="77777777" w:rsidR="00543E17" w:rsidRPr="00146877" w:rsidRDefault="00543E17" w:rsidP="00543E17">
      <w:pPr>
        <w:pStyle w:val="NormalWeb"/>
        <w:shd w:val="clear" w:color="auto" w:fill="FFFFFF"/>
        <w:spacing w:before="0" w:beforeAutospacing="0" w:after="0" w:afterAutospacing="0"/>
        <w:jc w:val="both"/>
        <w:rPr>
          <w:b/>
          <w:bCs/>
          <w:color w:val="212529"/>
          <w:sz w:val="26"/>
          <w:szCs w:val="26"/>
        </w:rPr>
      </w:pPr>
      <w:r w:rsidRPr="00146877">
        <w:rPr>
          <w:b/>
          <w:bCs/>
          <w:color w:val="212529"/>
          <w:sz w:val="26"/>
          <w:szCs w:val="26"/>
        </w:rPr>
        <w:t>Tài liệu tham khảo:</w:t>
      </w:r>
    </w:p>
    <w:p w14:paraId="776C22D7" w14:textId="34383408" w:rsidR="00543E17" w:rsidRPr="00146877" w:rsidRDefault="00543E17" w:rsidP="00543E17">
      <w:pPr>
        <w:rPr>
          <w:rFonts w:ascii="Times New Roman" w:eastAsia="Times New Roman" w:hAnsi="Times New Roman" w:cs="Times New Roman"/>
          <w:sz w:val="26"/>
          <w:szCs w:val="26"/>
        </w:rPr>
      </w:pPr>
      <w:r>
        <w:rPr>
          <w:rFonts w:ascii="Times New Roman" w:eastAsia="Times New Roman" w:hAnsi="Times New Roman" w:cs="Times New Roman"/>
          <w:color w:val="212529"/>
          <w:sz w:val="26"/>
          <w:szCs w:val="26"/>
          <w:shd w:val="clear" w:color="auto" w:fill="FFFFFF"/>
          <w:lang w:val="vi-VN"/>
        </w:rPr>
        <w:t>1</w:t>
      </w:r>
      <w:r w:rsidRPr="00146877">
        <w:rPr>
          <w:rFonts w:ascii="Times New Roman" w:eastAsia="Times New Roman" w:hAnsi="Times New Roman" w:cs="Times New Roman"/>
          <w:color w:val="212529"/>
          <w:sz w:val="26"/>
          <w:szCs w:val="26"/>
          <w:shd w:val="clear" w:color="auto" w:fill="FFFFFF"/>
        </w:rPr>
        <w:t>. Bộ Tài chính (2017), Thông tư số 107/2017/TT-BTC hướng dẫn chế độ kế toán hành chính, sự nghiệp;</w:t>
      </w:r>
    </w:p>
    <w:p w14:paraId="0A818101" w14:textId="77777777" w:rsidR="00543E17" w:rsidRPr="00146877" w:rsidRDefault="00543E17" w:rsidP="00543E17">
      <w:pPr>
        <w:pStyle w:val="NormalWeb"/>
        <w:shd w:val="clear" w:color="auto" w:fill="FFFFFF"/>
        <w:spacing w:before="0" w:beforeAutospacing="0" w:after="0" w:afterAutospacing="0"/>
        <w:jc w:val="both"/>
        <w:rPr>
          <w:b/>
          <w:bCs/>
          <w:color w:val="212529"/>
          <w:sz w:val="26"/>
          <w:szCs w:val="26"/>
        </w:rPr>
      </w:pPr>
    </w:p>
    <w:p w14:paraId="253EB03F" w14:textId="77777777" w:rsidR="00543E17" w:rsidRPr="00146877" w:rsidRDefault="00543E17" w:rsidP="00543E17">
      <w:pPr>
        <w:pStyle w:val="NormalWeb"/>
        <w:shd w:val="clear" w:color="auto" w:fill="FFFFFF"/>
        <w:spacing w:before="0" w:beforeAutospacing="0" w:after="0" w:afterAutospacing="0"/>
        <w:jc w:val="both"/>
        <w:rPr>
          <w:color w:val="212529"/>
          <w:sz w:val="26"/>
          <w:szCs w:val="26"/>
        </w:rPr>
      </w:pPr>
    </w:p>
    <w:p w14:paraId="70FC3328" w14:textId="77777777" w:rsidR="00543E17" w:rsidRPr="00184CD7" w:rsidRDefault="00543E17" w:rsidP="00543E17">
      <w:pPr>
        <w:ind w:left="720"/>
        <w:jc w:val="right"/>
        <w:rPr>
          <w:rFonts w:ascii="Times New Roman" w:hAnsi="Times New Roman" w:cs="Times New Roman"/>
          <w:b/>
          <w:bCs/>
          <w:i/>
          <w:iCs/>
          <w:sz w:val="26"/>
          <w:szCs w:val="26"/>
          <w:lang w:val="vi-VN"/>
        </w:rPr>
      </w:pPr>
      <w:r w:rsidRPr="00184CD7">
        <w:rPr>
          <w:rFonts w:ascii="Times New Roman" w:hAnsi="Times New Roman" w:cs="Times New Roman"/>
          <w:b/>
          <w:bCs/>
          <w:i/>
          <w:iCs/>
          <w:sz w:val="26"/>
          <w:szCs w:val="26"/>
        </w:rPr>
        <w:t>GV</w:t>
      </w:r>
      <w:r w:rsidRPr="00184CD7">
        <w:rPr>
          <w:rFonts w:ascii="Times New Roman" w:hAnsi="Times New Roman" w:cs="Times New Roman"/>
          <w:b/>
          <w:bCs/>
          <w:i/>
          <w:iCs/>
          <w:sz w:val="26"/>
          <w:szCs w:val="26"/>
          <w:lang w:val="vi-VN"/>
        </w:rPr>
        <w:t>_Nguyễn Thị Đoan Trang</w:t>
      </w:r>
    </w:p>
    <w:p w14:paraId="4A5F5A85" w14:textId="77777777" w:rsidR="00D23236" w:rsidRPr="00D23236" w:rsidRDefault="00D23236" w:rsidP="00D23236">
      <w:pPr>
        <w:rPr>
          <w:rFonts w:ascii="Times New Roman" w:hAnsi="Times New Roman" w:cs="Times New Roman"/>
          <w:sz w:val="26"/>
          <w:szCs w:val="26"/>
        </w:rPr>
      </w:pPr>
    </w:p>
    <w:p w14:paraId="6C4A1246" w14:textId="77777777" w:rsidR="00D23236" w:rsidRPr="00D23236" w:rsidRDefault="00D23236" w:rsidP="00D23236">
      <w:pPr>
        <w:rPr>
          <w:rFonts w:ascii="Times New Roman" w:hAnsi="Times New Roman" w:cs="Times New Roman"/>
          <w:sz w:val="26"/>
          <w:szCs w:val="26"/>
        </w:rPr>
      </w:pPr>
    </w:p>
    <w:sectPr w:rsidR="00D23236" w:rsidRPr="00D232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6174"/>
    <w:multiLevelType w:val="multilevel"/>
    <w:tmpl w:val="B75A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41859"/>
    <w:multiLevelType w:val="multilevel"/>
    <w:tmpl w:val="8AB490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5C33CB"/>
    <w:multiLevelType w:val="multilevel"/>
    <w:tmpl w:val="73FE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A696C"/>
    <w:multiLevelType w:val="multilevel"/>
    <w:tmpl w:val="3CA4EB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9121B2"/>
    <w:multiLevelType w:val="multilevel"/>
    <w:tmpl w:val="C412A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17F21"/>
    <w:multiLevelType w:val="multilevel"/>
    <w:tmpl w:val="E7DEE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703DDE"/>
    <w:multiLevelType w:val="multilevel"/>
    <w:tmpl w:val="3A78A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B77378"/>
    <w:multiLevelType w:val="multilevel"/>
    <w:tmpl w:val="2452D3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2F16A0"/>
    <w:multiLevelType w:val="multilevel"/>
    <w:tmpl w:val="4D0AD6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8072B4"/>
    <w:multiLevelType w:val="multilevel"/>
    <w:tmpl w:val="51F226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FC01B7"/>
    <w:multiLevelType w:val="multilevel"/>
    <w:tmpl w:val="061A8E9E"/>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11" w15:restartNumberingAfterBreak="0">
    <w:nsid w:val="34445B02"/>
    <w:multiLevelType w:val="multilevel"/>
    <w:tmpl w:val="392A5A1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EA2D59"/>
    <w:multiLevelType w:val="multilevel"/>
    <w:tmpl w:val="DA38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263620"/>
    <w:multiLevelType w:val="multilevel"/>
    <w:tmpl w:val="7400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565CC0"/>
    <w:multiLevelType w:val="multilevel"/>
    <w:tmpl w:val="D9E2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EB3C47"/>
    <w:multiLevelType w:val="multilevel"/>
    <w:tmpl w:val="4FF6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115F5A"/>
    <w:multiLevelType w:val="multilevel"/>
    <w:tmpl w:val="9C38A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D01D59"/>
    <w:multiLevelType w:val="multilevel"/>
    <w:tmpl w:val="24F8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0137F9"/>
    <w:multiLevelType w:val="multilevel"/>
    <w:tmpl w:val="1E06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7B54BE"/>
    <w:multiLevelType w:val="multilevel"/>
    <w:tmpl w:val="AF0E4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E835C3"/>
    <w:multiLevelType w:val="multilevel"/>
    <w:tmpl w:val="5128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0D1194"/>
    <w:multiLevelType w:val="multilevel"/>
    <w:tmpl w:val="F93AE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3869E7"/>
    <w:multiLevelType w:val="multilevel"/>
    <w:tmpl w:val="0232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AD62BD"/>
    <w:multiLevelType w:val="multilevel"/>
    <w:tmpl w:val="7DC8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9A620B"/>
    <w:multiLevelType w:val="multilevel"/>
    <w:tmpl w:val="F2EE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FE4AC8"/>
    <w:multiLevelType w:val="multilevel"/>
    <w:tmpl w:val="59663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9B140C"/>
    <w:multiLevelType w:val="multilevel"/>
    <w:tmpl w:val="8108A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AE15DA"/>
    <w:multiLevelType w:val="multilevel"/>
    <w:tmpl w:val="0E66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D618F5"/>
    <w:multiLevelType w:val="multilevel"/>
    <w:tmpl w:val="31061B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5C4339"/>
    <w:multiLevelType w:val="multilevel"/>
    <w:tmpl w:val="5DE0F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9E344D"/>
    <w:multiLevelType w:val="multilevel"/>
    <w:tmpl w:val="7C7C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9C70D4"/>
    <w:multiLevelType w:val="multilevel"/>
    <w:tmpl w:val="93E09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5E3BE1"/>
    <w:multiLevelType w:val="multilevel"/>
    <w:tmpl w:val="C5F6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D30E89"/>
    <w:multiLevelType w:val="multilevel"/>
    <w:tmpl w:val="90E41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8C7598"/>
    <w:multiLevelType w:val="multilevel"/>
    <w:tmpl w:val="4C94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616EB9"/>
    <w:multiLevelType w:val="multilevel"/>
    <w:tmpl w:val="210416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8E4D28"/>
    <w:multiLevelType w:val="multilevel"/>
    <w:tmpl w:val="5DB0C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202851"/>
    <w:multiLevelType w:val="multilevel"/>
    <w:tmpl w:val="E2349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DB1197"/>
    <w:multiLevelType w:val="multilevel"/>
    <w:tmpl w:val="1DBE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3"/>
  </w:num>
  <w:num w:numId="3">
    <w:abstractNumId w:val="21"/>
  </w:num>
  <w:num w:numId="4">
    <w:abstractNumId w:val="38"/>
  </w:num>
  <w:num w:numId="5">
    <w:abstractNumId w:val="15"/>
  </w:num>
  <w:num w:numId="6">
    <w:abstractNumId w:val="17"/>
  </w:num>
  <w:num w:numId="7">
    <w:abstractNumId w:val="4"/>
  </w:num>
  <w:num w:numId="8">
    <w:abstractNumId w:val="26"/>
  </w:num>
  <w:num w:numId="9">
    <w:abstractNumId w:val="16"/>
  </w:num>
  <w:num w:numId="10">
    <w:abstractNumId w:val="14"/>
  </w:num>
  <w:num w:numId="11">
    <w:abstractNumId w:val="32"/>
  </w:num>
  <w:num w:numId="12">
    <w:abstractNumId w:val="30"/>
  </w:num>
  <w:num w:numId="13">
    <w:abstractNumId w:val="29"/>
  </w:num>
  <w:num w:numId="14">
    <w:abstractNumId w:val="0"/>
  </w:num>
  <w:num w:numId="15">
    <w:abstractNumId w:val="13"/>
  </w:num>
  <w:num w:numId="16">
    <w:abstractNumId w:val="6"/>
  </w:num>
  <w:num w:numId="17">
    <w:abstractNumId w:val="24"/>
  </w:num>
  <w:num w:numId="18">
    <w:abstractNumId w:val="34"/>
  </w:num>
  <w:num w:numId="19">
    <w:abstractNumId w:val="5"/>
  </w:num>
  <w:num w:numId="20">
    <w:abstractNumId w:val="19"/>
  </w:num>
  <w:num w:numId="21">
    <w:abstractNumId w:val="12"/>
  </w:num>
  <w:num w:numId="22">
    <w:abstractNumId w:val="22"/>
  </w:num>
  <w:num w:numId="23">
    <w:abstractNumId w:val="37"/>
  </w:num>
  <w:num w:numId="24">
    <w:abstractNumId w:val="2"/>
  </w:num>
  <w:num w:numId="25">
    <w:abstractNumId w:val="23"/>
  </w:num>
  <w:num w:numId="26">
    <w:abstractNumId w:val="20"/>
  </w:num>
  <w:num w:numId="27">
    <w:abstractNumId w:val="31"/>
  </w:num>
  <w:num w:numId="28">
    <w:abstractNumId w:val="36"/>
  </w:num>
  <w:num w:numId="29">
    <w:abstractNumId w:val="27"/>
  </w:num>
  <w:num w:numId="30">
    <w:abstractNumId w:val="18"/>
  </w:num>
  <w:num w:numId="31">
    <w:abstractNumId w:val="25"/>
  </w:num>
  <w:num w:numId="32">
    <w:abstractNumId w:val="3"/>
  </w:num>
  <w:num w:numId="33">
    <w:abstractNumId w:val="35"/>
  </w:num>
  <w:num w:numId="34">
    <w:abstractNumId w:val="9"/>
  </w:num>
  <w:num w:numId="35">
    <w:abstractNumId w:val="7"/>
  </w:num>
  <w:num w:numId="36">
    <w:abstractNumId w:val="8"/>
  </w:num>
  <w:num w:numId="37">
    <w:abstractNumId w:val="28"/>
  </w:num>
  <w:num w:numId="38">
    <w:abstractNumId w:val="1"/>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236"/>
    <w:rsid w:val="00543E17"/>
    <w:rsid w:val="00D23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F01792"/>
  <w15:chartTrackingRefBased/>
  <w15:docId w15:val="{03A9589C-25C6-784C-AD4A-2B3EF09C2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323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23236"/>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2323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323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23236"/>
    <w:rPr>
      <w:rFonts w:ascii="Times New Roman" w:eastAsia="Times New Roman" w:hAnsi="Times New Roman" w:cs="Times New Roman"/>
      <w:b/>
      <w:bCs/>
      <w:sz w:val="27"/>
      <w:szCs w:val="27"/>
    </w:rPr>
  </w:style>
  <w:style w:type="character" w:styleId="Strong">
    <w:name w:val="Strong"/>
    <w:basedOn w:val="DefaultParagraphFont"/>
    <w:uiPriority w:val="22"/>
    <w:qFormat/>
    <w:rsid w:val="00D23236"/>
    <w:rPr>
      <w:b/>
      <w:bCs/>
    </w:rPr>
  </w:style>
  <w:style w:type="paragraph" w:styleId="NormalWeb">
    <w:name w:val="Normal (Web)"/>
    <w:basedOn w:val="Normal"/>
    <w:uiPriority w:val="99"/>
    <w:semiHidden/>
    <w:unhideWhenUsed/>
    <w:rsid w:val="00D23236"/>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23236"/>
  </w:style>
  <w:style w:type="character" w:customStyle="1" w:styleId="Heading1Char">
    <w:name w:val="Heading 1 Char"/>
    <w:basedOn w:val="DefaultParagraphFont"/>
    <w:link w:val="Heading1"/>
    <w:uiPriority w:val="9"/>
    <w:rsid w:val="00D23236"/>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D232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812823">
      <w:bodyDiv w:val="1"/>
      <w:marLeft w:val="0"/>
      <w:marRight w:val="0"/>
      <w:marTop w:val="0"/>
      <w:marBottom w:val="0"/>
      <w:divBdr>
        <w:top w:val="none" w:sz="0" w:space="0" w:color="auto"/>
        <w:left w:val="none" w:sz="0" w:space="0" w:color="auto"/>
        <w:bottom w:val="none" w:sz="0" w:space="0" w:color="auto"/>
        <w:right w:val="none" w:sz="0" w:space="0" w:color="auto"/>
      </w:divBdr>
    </w:div>
    <w:div w:id="1564096065">
      <w:bodyDiv w:val="1"/>
      <w:marLeft w:val="0"/>
      <w:marRight w:val="0"/>
      <w:marTop w:val="0"/>
      <w:marBottom w:val="0"/>
      <w:divBdr>
        <w:top w:val="none" w:sz="0" w:space="0" w:color="auto"/>
        <w:left w:val="none" w:sz="0" w:space="0" w:color="auto"/>
        <w:bottom w:val="none" w:sz="0" w:space="0" w:color="auto"/>
        <w:right w:val="none" w:sz="0" w:space="0" w:color="auto"/>
      </w:divBdr>
      <w:divsChild>
        <w:div w:id="1184368159">
          <w:marLeft w:val="0"/>
          <w:marRight w:val="0"/>
          <w:marTop w:val="0"/>
          <w:marBottom w:val="381"/>
          <w:divBdr>
            <w:top w:val="none" w:sz="0" w:space="0" w:color="auto"/>
            <w:left w:val="none" w:sz="0" w:space="0" w:color="auto"/>
            <w:bottom w:val="none" w:sz="0" w:space="0" w:color="auto"/>
            <w:right w:val="none" w:sz="0" w:space="0" w:color="auto"/>
          </w:divBdr>
        </w:div>
      </w:divsChild>
    </w:div>
    <w:div w:id="1790930597">
      <w:bodyDiv w:val="1"/>
      <w:marLeft w:val="0"/>
      <w:marRight w:val="0"/>
      <w:marTop w:val="0"/>
      <w:marBottom w:val="0"/>
      <w:divBdr>
        <w:top w:val="none" w:sz="0" w:space="0" w:color="auto"/>
        <w:left w:val="none" w:sz="0" w:space="0" w:color="auto"/>
        <w:bottom w:val="none" w:sz="0" w:space="0" w:color="auto"/>
        <w:right w:val="none" w:sz="0" w:space="0" w:color="auto"/>
      </w:divBdr>
      <w:divsChild>
        <w:div w:id="744423921">
          <w:marLeft w:val="0"/>
          <w:marRight w:val="0"/>
          <w:marTop w:val="0"/>
          <w:marBottom w:val="0"/>
          <w:divBdr>
            <w:top w:val="none" w:sz="0" w:space="0" w:color="auto"/>
            <w:left w:val="none" w:sz="0" w:space="0" w:color="auto"/>
            <w:bottom w:val="none" w:sz="0" w:space="0" w:color="auto"/>
            <w:right w:val="none" w:sz="0" w:space="0" w:color="auto"/>
          </w:divBdr>
          <w:divsChild>
            <w:div w:id="1093665937">
              <w:marLeft w:val="0"/>
              <w:marRight w:val="0"/>
              <w:marTop w:val="0"/>
              <w:marBottom w:val="0"/>
              <w:divBdr>
                <w:top w:val="none" w:sz="0" w:space="0" w:color="auto"/>
                <w:left w:val="none" w:sz="0" w:space="0" w:color="auto"/>
                <w:bottom w:val="none" w:sz="0" w:space="0" w:color="auto"/>
                <w:right w:val="none" w:sz="0" w:space="0" w:color="auto"/>
              </w:divBdr>
              <w:divsChild>
                <w:div w:id="267658841">
                  <w:marLeft w:val="0"/>
                  <w:marRight w:val="0"/>
                  <w:marTop w:val="0"/>
                  <w:marBottom w:val="0"/>
                  <w:divBdr>
                    <w:top w:val="none" w:sz="0" w:space="0" w:color="auto"/>
                    <w:left w:val="none" w:sz="0" w:space="0" w:color="auto"/>
                    <w:bottom w:val="none" w:sz="0" w:space="0" w:color="auto"/>
                    <w:right w:val="none" w:sz="0" w:space="0" w:color="auto"/>
                  </w:divBdr>
                  <w:divsChild>
                    <w:div w:id="1546913002">
                      <w:marLeft w:val="0"/>
                      <w:marRight w:val="0"/>
                      <w:marTop w:val="0"/>
                      <w:marBottom w:val="0"/>
                      <w:divBdr>
                        <w:top w:val="none" w:sz="0" w:space="0" w:color="auto"/>
                        <w:left w:val="none" w:sz="0" w:space="0" w:color="auto"/>
                        <w:bottom w:val="none" w:sz="0" w:space="0" w:color="auto"/>
                        <w:right w:val="none" w:sz="0" w:space="0" w:color="auto"/>
                      </w:divBdr>
                      <w:divsChild>
                        <w:div w:id="2092774513">
                          <w:marLeft w:val="0"/>
                          <w:marRight w:val="0"/>
                          <w:marTop w:val="0"/>
                          <w:marBottom w:val="0"/>
                          <w:divBdr>
                            <w:top w:val="none" w:sz="0" w:space="0" w:color="auto"/>
                            <w:left w:val="none" w:sz="0" w:space="0" w:color="auto"/>
                            <w:bottom w:val="none" w:sz="0" w:space="0" w:color="auto"/>
                            <w:right w:val="none" w:sz="0" w:space="0" w:color="auto"/>
                          </w:divBdr>
                          <w:divsChild>
                            <w:div w:id="978533890">
                              <w:marLeft w:val="0"/>
                              <w:marRight w:val="0"/>
                              <w:marTop w:val="0"/>
                              <w:marBottom w:val="0"/>
                              <w:divBdr>
                                <w:top w:val="none" w:sz="0" w:space="0" w:color="auto"/>
                                <w:left w:val="none" w:sz="0" w:space="0" w:color="auto"/>
                                <w:bottom w:val="none" w:sz="0" w:space="0" w:color="auto"/>
                                <w:right w:val="none" w:sz="0" w:space="0" w:color="auto"/>
                              </w:divBdr>
                              <w:divsChild>
                                <w:div w:id="604964289">
                                  <w:marLeft w:val="0"/>
                                  <w:marRight w:val="0"/>
                                  <w:marTop w:val="0"/>
                                  <w:marBottom w:val="0"/>
                                  <w:divBdr>
                                    <w:top w:val="none" w:sz="0" w:space="0" w:color="auto"/>
                                    <w:left w:val="none" w:sz="0" w:space="0" w:color="auto"/>
                                    <w:bottom w:val="none" w:sz="0" w:space="0" w:color="auto"/>
                                    <w:right w:val="none" w:sz="0" w:space="0" w:color="auto"/>
                                  </w:divBdr>
                                  <w:divsChild>
                                    <w:div w:id="1705593065">
                                      <w:marLeft w:val="0"/>
                                      <w:marRight w:val="0"/>
                                      <w:marTop w:val="0"/>
                                      <w:marBottom w:val="0"/>
                                      <w:divBdr>
                                        <w:top w:val="none" w:sz="0" w:space="0" w:color="auto"/>
                                        <w:left w:val="none" w:sz="0" w:space="0" w:color="auto"/>
                                        <w:bottom w:val="none" w:sz="0" w:space="0" w:color="auto"/>
                                        <w:right w:val="none" w:sz="0" w:space="0" w:color="auto"/>
                                      </w:divBdr>
                                      <w:divsChild>
                                        <w:div w:id="1381592541">
                                          <w:marLeft w:val="0"/>
                                          <w:marRight w:val="0"/>
                                          <w:marTop w:val="0"/>
                                          <w:marBottom w:val="0"/>
                                          <w:divBdr>
                                            <w:top w:val="none" w:sz="0" w:space="0" w:color="auto"/>
                                            <w:left w:val="none" w:sz="0" w:space="0" w:color="auto"/>
                                            <w:bottom w:val="none" w:sz="0" w:space="0" w:color="auto"/>
                                            <w:right w:val="none" w:sz="0" w:space="0" w:color="auto"/>
                                          </w:divBdr>
                                          <w:divsChild>
                                            <w:div w:id="773940039">
                                              <w:marLeft w:val="0"/>
                                              <w:marRight w:val="0"/>
                                              <w:marTop w:val="0"/>
                                              <w:marBottom w:val="0"/>
                                              <w:divBdr>
                                                <w:top w:val="none" w:sz="0" w:space="0" w:color="auto"/>
                                                <w:left w:val="none" w:sz="0" w:space="0" w:color="auto"/>
                                                <w:bottom w:val="none" w:sz="0" w:space="0" w:color="auto"/>
                                                <w:right w:val="none" w:sz="0" w:space="0" w:color="auto"/>
                                              </w:divBdr>
                                              <w:divsChild>
                                                <w:div w:id="1921867433">
                                                  <w:marLeft w:val="0"/>
                                                  <w:marRight w:val="0"/>
                                                  <w:marTop w:val="0"/>
                                                  <w:marBottom w:val="0"/>
                                                  <w:divBdr>
                                                    <w:top w:val="none" w:sz="0" w:space="0" w:color="auto"/>
                                                    <w:left w:val="none" w:sz="0" w:space="0" w:color="auto"/>
                                                    <w:bottom w:val="none" w:sz="0" w:space="0" w:color="auto"/>
                                                    <w:right w:val="none" w:sz="0" w:space="0" w:color="auto"/>
                                                  </w:divBdr>
                                                  <w:divsChild>
                                                    <w:div w:id="670909087">
                                                      <w:marLeft w:val="0"/>
                                                      <w:marRight w:val="0"/>
                                                      <w:marTop w:val="0"/>
                                                      <w:marBottom w:val="0"/>
                                                      <w:divBdr>
                                                        <w:top w:val="none" w:sz="0" w:space="0" w:color="auto"/>
                                                        <w:left w:val="none" w:sz="0" w:space="0" w:color="auto"/>
                                                        <w:bottom w:val="none" w:sz="0" w:space="0" w:color="auto"/>
                                                        <w:right w:val="none" w:sz="0" w:space="0" w:color="auto"/>
                                                      </w:divBdr>
                                                      <w:divsChild>
                                                        <w:div w:id="1565987218">
                                                          <w:marLeft w:val="0"/>
                                                          <w:marRight w:val="0"/>
                                                          <w:marTop w:val="0"/>
                                                          <w:marBottom w:val="0"/>
                                                          <w:divBdr>
                                                            <w:top w:val="none" w:sz="0" w:space="0" w:color="auto"/>
                                                            <w:left w:val="none" w:sz="0" w:space="0" w:color="auto"/>
                                                            <w:bottom w:val="none" w:sz="0" w:space="0" w:color="auto"/>
                                                            <w:right w:val="none" w:sz="0" w:space="0" w:color="auto"/>
                                                          </w:divBdr>
                                                          <w:divsChild>
                                                            <w:div w:id="1969823892">
                                                              <w:marLeft w:val="0"/>
                                                              <w:marRight w:val="0"/>
                                                              <w:marTop w:val="0"/>
                                                              <w:marBottom w:val="0"/>
                                                              <w:divBdr>
                                                                <w:top w:val="none" w:sz="0" w:space="0" w:color="auto"/>
                                                                <w:left w:val="none" w:sz="0" w:space="0" w:color="auto"/>
                                                                <w:bottom w:val="none" w:sz="0" w:space="0" w:color="auto"/>
                                                                <w:right w:val="none" w:sz="0" w:space="0" w:color="auto"/>
                                                              </w:divBdr>
                                                              <w:divsChild>
                                                                <w:div w:id="1220361830">
                                                                  <w:marLeft w:val="0"/>
                                                                  <w:marRight w:val="0"/>
                                                                  <w:marTop w:val="0"/>
                                                                  <w:marBottom w:val="0"/>
                                                                  <w:divBdr>
                                                                    <w:top w:val="none" w:sz="0" w:space="0" w:color="auto"/>
                                                                    <w:left w:val="none" w:sz="0" w:space="0" w:color="auto"/>
                                                                    <w:bottom w:val="none" w:sz="0" w:space="0" w:color="auto"/>
                                                                    <w:right w:val="none" w:sz="0" w:space="0" w:color="auto"/>
                                                                  </w:divBdr>
                                                                  <w:divsChild>
                                                                    <w:div w:id="63106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906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2024-07-14T06:09:00Z</dcterms:created>
  <dcterms:modified xsi:type="dcterms:W3CDTF">2024-07-14T06:18:00Z</dcterms:modified>
</cp:coreProperties>
</file>