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CBE" w:rsidRPr="001F1CBE" w:rsidRDefault="001F1CBE" w:rsidP="001F1CBE">
      <w:pPr>
        <w:spacing w:after="0" w:line="240" w:lineRule="auto"/>
        <w:jc w:val="center"/>
        <w:outlineLvl w:val="0"/>
        <w:rPr>
          <w:rFonts w:ascii="Times New Roman" w:eastAsia="Times New Roman" w:hAnsi="Times New Roman" w:cs="Times New Roman"/>
          <w:b/>
          <w:bCs/>
          <w:kern w:val="36"/>
          <w:sz w:val="26"/>
          <w:szCs w:val="26"/>
        </w:rPr>
      </w:pPr>
      <w:r w:rsidRPr="001F1CBE">
        <w:rPr>
          <w:rFonts w:ascii="Times New Roman" w:eastAsia="Times New Roman" w:hAnsi="Times New Roman" w:cs="Times New Roman"/>
          <w:b/>
          <w:bCs/>
          <w:kern w:val="36"/>
          <w:sz w:val="26"/>
          <w:szCs w:val="26"/>
        </w:rPr>
        <w:t xml:space="preserve">TỔNG HỢP MỘT SỐ ĐIỂM MỚI CỦA NGHỊ ĐỊNH </w:t>
      </w:r>
      <w:r w:rsidRPr="001F1CBE">
        <w:rPr>
          <w:rFonts w:ascii="Times New Roman" w:eastAsia="Times New Roman" w:hAnsi="Times New Roman" w:cs="Times New Roman"/>
          <w:b/>
          <w:bCs/>
          <w:kern w:val="36"/>
          <w:sz w:val="26"/>
          <w:szCs w:val="26"/>
        </w:rPr>
        <w:t>70/2025/NĐ-CP</w:t>
      </w:r>
      <w:r w:rsidRPr="001F1CBE">
        <w:rPr>
          <w:rFonts w:ascii="Times New Roman" w:eastAsia="Times New Roman" w:hAnsi="Times New Roman" w:cs="Times New Roman"/>
          <w:b/>
          <w:bCs/>
          <w:kern w:val="36"/>
          <w:sz w:val="26"/>
          <w:szCs w:val="26"/>
        </w:rPr>
        <w:t xml:space="preserve"> VỀ HÓA ĐƠN, CHỨNG TỪ</w:t>
      </w:r>
    </w:p>
    <w:p w:rsidR="001F1CBE" w:rsidRPr="001F1CBE" w:rsidRDefault="001F1CBE" w:rsidP="001F1CBE">
      <w:pPr>
        <w:spacing w:after="0" w:line="240" w:lineRule="auto"/>
        <w:jc w:val="center"/>
        <w:outlineLvl w:val="0"/>
        <w:rPr>
          <w:rFonts w:ascii="Times New Roman" w:eastAsia="Times New Roman" w:hAnsi="Times New Roman" w:cs="Times New Roman"/>
          <w:b/>
          <w:bCs/>
          <w:kern w:val="36"/>
          <w:sz w:val="26"/>
          <w:szCs w:val="26"/>
        </w:rPr>
      </w:pPr>
    </w:p>
    <w:p w:rsidR="001F1CBE" w:rsidRPr="001F1CBE" w:rsidRDefault="001F1CBE" w:rsidP="001F1CBE">
      <w:pPr>
        <w:spacing w:after="0" w:line="240" w:lineRule="auto"/>
        <w:jc w:val="both"/>
        <w:outlineLvl w:val="1"/>
        <w:rPr>
          <w:rFonts w:ascii="Times New Roman" w:eastAsia="Times New Roman" w:hAnsi="Times New Roman" w:cs="Times New Roman"/>
          <w:b/>
          <w:bCs/>
          <w:sz w:val="26"/>
          <w:szCs w:val="26"/>
        </w:rPr>
      </w:pPr>
      <w:bookmarkStart w:id="0" w:name="_GoBack"/>
      <w:r w:rsidRPr="001F1CBE">
        <w:rPr>
          <w:rFonts w:ascii="Times New Roman" w:eastAsia="Times New Roman" w:hAnsi="Times New Roman" w:cs="Times New Roman"/>
          <w:b/>
          <w:bCs/>
          <w:sz w:val="26"/>
          <w:szCs w:val="26"/>
        </w:rPr>
        <w:t>1. Bổ sung đối tượng áp dụng là nhà cung cấp nước ngoài kinh doanh thương mại điện tử</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Khoản 1 Điều 1 </w:t>
      </w:r>
      <w:hyperlink r:id="rId6" w:history="1">
        <w:r w:rsidRPr="001F1CBE">
          <w:rPr>
            <w:rFonts w:ascii="Times New Roman" w:eastAsia="Times New Roman" w:hAnsi="Times New Roman" w:cs="Times New Roman"/>
            <w:sz w:val="26"/>
            <w:szCs w:val="26"/>
            <w:u w:val="single"/>
          </w:rPr>
          <w:t>Nghị định 70/2025/NĐ-CP</w:t>
        </w:r>
      </w:hyperlink>
      <w:r w:rsidRPr="001F1CBE">
        <w:rPr>
          <w:rFonts w:ascii="Times New Roman" w:eastAsia="Times New Roman" w:hAnsi="Times New Roman" w:cs="Times New Roman"/>
          <w:sz w:val="26"/>
          <w:szCs w:val="26"/>
        </w:rPr>
        <w:t> bổ sung đối tượng áp dụng Nghị định 123 tại điểm e vào khoản 1 Điều 2.</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Theo đó, nhà cung cấp ở nước ngoài không có cơ sở thường trú tại Việt Nam có hoạt động kinh doanh thương mại điện tử, kinh doanh dựa trên nền tảng số và các dịch vụ khác đăng ký tự nguyện sử dụng hóa đơn điện tử theo quy định tại </w:t>
      </w:r>
      <w:hyperlink r:id="rId7" w:history="1">
        <w:r w:rsidRPr="001F1CBE">
          <w:rPr>
            <w:rFonts w:ascii="Times New Roman" w:eastAsia="Times New Roman" w:hAnsi="Times New Roman" w:cs="Times New Roman"/>
            <w:sz w:val="26"/>
            <w:szCs w:val="26"/>
            <w:u w:val="single"/>
          </w:rPr>
          <w:t>Nghị định 123/2020/NĐ-CP</w:t>
        </w:r>
      </w:hyperlink>
      <w:r w:rsidRPr="001F1CBE">
        <w:rPr>
          <w:rFonts w:ascii="Times New Roman" w:eastAsia="Times New Roman" w:hAnsi="Times New Roman" w:cs="Times New Roman"/>
          <w:sz w:val="26"/>
          <w:szCs w:val="26"/>
        </w:rPr>
        <w:t> thì thuộc đối tượng áp dụng quy định của Nghị định này.</w:t>
      </w:r>
    </w:p>
    <w:p w:rsidR="001F1CBE" w:rsidRPr="001F1CBE" w:rsidRDefault="001F1CBE" w:rsidP="001F1CBE">
      <w:pPr>
        <w:spacing w:after="0" w:line="240" w:lineRule="auto"/>
        <w:jc w:val="both"/>
        <w:outlineLvl w:val="1"/>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2. Bổ sung nhiều giải thích thuật ngữ về hóa đơn, chứng từ</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Khoản 2 Điều 1 Nghị định 70 bổ sung điểm c, điểm d vào khoản 2; sửa đổi, bổ sung khoản 5, khoản 11, khoản 12 và bổ sung khoản 14 vào Điều 3 Nghị định 123/2020 về giải thích thuật ngữ liên quan đến quy định về hóa đơn, chứng từ áp dụng tại Nghị định này như sau:</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Hóa đơn điện tử khởi tạo từ máy tính tiền có kết nối chuyển dữ liệu điện tử với cơ quan thuế (sau đây gọi là hóa đơn điện tử khởi tạo từ máy tính tiền) là hóa đơn có mã của cơ quan thuế hoặc dữ liệu điện tử để người mua có thể truy xuất, kê khai thông tin hóa đơn điện tử khởi tạo từ máy tính tiền do tổ chức, cá nhân bán hàng hóa, cung cấp dịch vụ lập từ hệ thống tính tiền, dữ liệu được chuyển đến cơ quan thuế theo định dạng được quy định tại Điều 12 Nghị định này.</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 Máy tính tiền là hệ thống tính tiền bao gồm một thiết bị điện tử đồng bộ hoặc một hệ thống gồm nhiều thiết bị điện tử được kết hợp với nhau bằng giải pháp công nghệ thông tin có chức năng </w:t>
      </w:r>
      <w:proofErr w:type="gramStart"/>
      <w:r w:rsidRPr="001F1CBE">
        <w:rPr>
          <w:rFonts w:ascii="Times New Roman" w:eastAsia="Times New Roman" w:hAnsi="Times New Roman" w:cs="Times New Roman"/>
          <w:sz w:val="26"/>
          <w:szCs w:val="26"/>
        </w:rPr>
        <w:t>chung</w:t>
      </w:r>
      <w:proofErr w:type="gramEnd"/>
      <w:r w:rsidRPr="001F1CBE">
        <w:rPr>
          <w:rFonts w:ascii="Times New Roman" w:eastAsia="Times New Roman" w:hAnsi="Times New Roman" w:cs="Times New Roman"/>
          <w:sz w:val="26"/>
          <w:szCs w:val="26"/>
        </w:rPr>
        <w:t xml:space="preserve"> như: tính tiền, lưu trữ các giao dịch bán hàng, số liệu bán hàng.”</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Chứng từ điện tử được thể hiện ở dạng dữ liệu điện tử do tổ chức, cá nhân có trách nhiệm khấu trừ thuế cấp cho người nộp thuế hoặc do tổ chức thu thuế, phí, lệ phí cấp cho người nộp bằng phương tiện điện tử theo quy định của pháp luật phí, lệ phí, pháp luật thuế.”</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Tiêu hủy hóa đơn, chứng từ điện tử là biện pháp làm cho hóa đơn điện tử, chứng từ điện tử không còn tồn tại trên hệ thống thông tin, không thể truy cập và tham chiếu đến thông tin chứa trong hóa đơn điện tử, chứng từ điện tử.</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Tiêu hủy hóa đơn do cơ quan thuế đặt in, tiêu hủy chứng từ đặt in, tự in là việc sử dụng biện pháp đốt cháy, cắt, xé nhỏ hoặc hình thức tiêu hủy khác, đảm bảo hóa đơn, chứng từ đã tiêu hủy sẽ không thể sử dụng lại các thông tin, số liệu trên đó.</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w:t>
      </w:r>
    </w:p>
    <w:p w:rsidR="001F1CBE" w:rsidRPr="001F1CBE" w:rsidRDefault="001F1CBE" w:rsidP="001F1CBE">
      <w:pPr>
        <w:spacing w:after="0" w:line="240" w:lineRule="auto"/>
        <w:jc w:val="both"/>
        <w:outlineLvl w:val="1"/>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 xml:space="preserve">3. Được tích hợp biên lai </w:t>
      </w:r>
      <w:proofErr w:type="gramStart"/>
      <w:r w:rsidRPr="001F1CBE">
        <w:rPr>
          <w:rFonts w:ascii="Times New Roman" w:eastAsia="Times New Roman" w:hAnsi="Times New Roman" w:cs="Times New Roman"/>
          <w:b/>
          <w:bCs/>
          <w:sz w:val="26"/>
          <w:szCs w:val="26"/>
        </w:rPr>
        <w:t>thu</w:t>
      </w:r>
      <w:proofErr w:type="gramEnd"/>
      <w:r w:rsidRPr="001F1CBE">
        <w:rPr>
          <w:rFonts w:ascii="Times New Roman" w:eastAsia="Times New Roman" w:hAnsi="Times New Roman" w:cs="Times New Roman"/>
          <w:b/>
          <w:bCs/>
          <w:sz w:val="26"/>
          <w:szCs w:val="26"/>
        </w:rPr>
        <w:t xml:space="preserve"> thuế, phí vào hóa đơn điện tử cho người mua</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Khoản 3 Điều 1 Nghị định 70 sửa đổi, bổ sung khoản 1, khoản 2, khoản 3, khoản 6, khoản 7 và bổ sung khoản 9 vào Điều 4 Nghị định 123 về nguyên tắc lập, quản lý, sử dụng hóa đơn, chứng từ.</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Đáng chú ý, Nghị định 70 bổ sung khoản 9 về trường hợp tổ chức thu thuế, phí, lệ phí và người cung cấp dịch vụ cùng thực hiện thu thuế, phí, lệ phí và tiền bán hàng hóa, cung cấp dịch vụ của một khách hàng thì được tích hợp biên lai thu thuế, phí, lệ phí và hóa đơn trên cùng một định dạng điện tử để giao cho người mua.</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Hóa đơn điện tử tích hợp phải đảm bảo có đủ nội dung của hóa đơn điện tử, biên lai điện tử và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đúng định dạng do cơ quan thuế quy định.</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lastRenderedPageBreak/>
        <w:t>Người bán hàng hóa, cung cấp dịch vụ và tổ chức thu thuế, phí, lệ phí có trách nhiệm thỏa thuận về đơn vị chịu trách nhiệm lập hóa đơn điện tử tích hợp cho khách hàng và phải thông báo đến cơ quan thuế quản lý trực tiếp theo Mẫu số 01/ĐKTĐ-HĐĐT Phụ lục IA ban hành kèm theo Nghị định này.</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Việc kê khai doanh </w:t>
      </w:r>
      <w:proofErr w:type="gramStart"/>
      <w:r w:rsidRPr="001F1CBE">
        <w:rPr>
          <w:rFonts w:ascii="Times New Roman" w:eastAsia="Times New Roman" w:hAnsi="Times New Roman" w:cs="Times New Roman"/>
          <w:sz w:val="26"/>
          <w:szCs w:val="26"/>
        </w:rPr>
        <w:t>thu</w:t>
      </w:r>
      <w:proofErr w:type="gramEnd"/>
      <w:r w:rsidRPr="001F1CBE">
        <w:rPr>
          <w:rFonts w:ascii="Times New Roman" w:eastAsia="Times New Roman" w:hAnsi="Times New Roman" w:cs="Times New Roman"/>
          <w:sz w:val="26"/>
          <w:szCs w:val="26"/>
        </w:rPr>
        <w:t xml:space="preserve"> của người bán hàng hóa, cung cấp dịch vụ và việc kê khai thuế, phí, lệ phí thực hiện theo quy định của pháp luật quản lý thuế.</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Ngoài ra, Nghị định này còn bổ sung nguyên tắc yêu cầu người bán hàng hóa, cung cấp dịch vụ, tổ chức cung cấp dịch vụ hóa đơn điện tử, cơ quan thuế sử dụng cơ sở dữ liệu về hóa đơn điện tử để thực hiện các biện pháp khuyến khích người tiêu dùng lấy hóa đơn khi mua hàng hóa, dịch vụ như: Chương trình khách hàng thường xuyên, chương trình tham gia dự thưởng, chương trình hóa đơn may mắn. </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w:t>
      </w:r>
    </w:p>
    <w:p w:rsidR="001F1CBE" w:rsidRPr="001F1CBE" w:rsidRDefault="001F1CBE" w:rsidP="001F1CBE">
      <w:pPr>
        <w:spacing w:after="0" w:line="240" w:lineRule="auto"/>
        <w:jc w:val="both"/>
        <w:outlineLvl w:val="1"/>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 xml:space="preserve">4. Cấm làm giả hóa đơn, không chuyển dữ liệu về cơ quan thuế </w:t>
      </w:r>
      <w:proofErr w:type="gramStart"/>
      <w:r w:rsidRPr="001F1CBE">
        <w:rPr>
          <w:rFonts w:ascii="Times New Roman" w:eastAsia="Times New Roman" w:hAnsi="Times New Roman" w:cs="Times New Roman"/>
          <w:b/>
          <w:bCs/>
          <w:sz w:val="26"/>
          <w:szCs w:val="26"/>
        </w:rPr>
        <w:t>theo</w:t>
      </w:r>
      <w:proofErr w:type="gramEnd"/>
      <w:r w:rsidRPr="001F1CBE">
        <w:rPr>
          <w:rFonts w:ascii="Times New Roman" w:eastAsia="Times New Roman" w:hAnsi="Times New Roman" w:cs="Times New Roman"/>
          <w:b/>
          <w:bCs/>
          <w:sz w:val="26"/>
          <w:szCs w:val="26"/>
        </w:rPr>
        <w:t xml:space="preserve"> quy định</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Khoản 4 Điều 1 Nghị định 70 sửa đổi, bổ sung khoản 2 Điều 5 Nghị định 123 về các hành vi bị cấm đối với tổ chức, cá nhân bán, cung cấp hàng hóa, dịch vụ, tổ chức, cá nhân có quyền và nghĩa vụ liên quan trong lĩnh vực hóa đơn, chứng từ.</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Trong đó, bổ sung các hành </w:t>
      </w:r>
      <w:proofErr w:type="gramStart"/>
      <w:r w:rsidRPr="001F1CBE">
        <w:rPr>
          <w:rFonts w:ascii="Times New Roman" w:eastAsia="Times New Roman" w:hAnsi="Times New Roman" w:cs="Times New Roman"/>
          <w:sz w:val="26"/>
          <w:szCs w:val="26"/>
        </w:rPr>
        <w:t>vi</w:t>
      </w:r>
      <w:proofErr w:type="gramEnd"/>
      <w:r w:rsidRPr="001F1CBE">
        <w:rPr>
          <w:rFonts w:ascii="Times New Roman" w:eastAsia="Times New Roman" w:hAnsi="Times New Roman" w:cs="Times New Roman"/>
          <w:sz w:val="26"/>
          <w:szCs w:val="26"/>
        </w:rPr>
        <w:t xml:space="preserve"> bị cấm sau đây:</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 Làm giả hóa đơn, chứng từ để thực hiện hành </w:t>
      </w:r>
      <w:proofErr w:type="gramStart"/>
      <w:r w:rsidRPr="001F1CBE">
        <w:rPr>
          <w:rFonts w:ascii="Times New Roman" w:eastAsia="Times New Roman" w:hAnsi="Times New Roman" w:cs="Times New Roman"/>
          <w:sz w:val="26"/>
          <w:szCs w:val="26"/>
        </w:rPr>
        <w:t>vi</w:t>
      </w:r>
      <w:proofErr w:type="gramEnd"/>
      <w:r w:rsidRPr="001F1CBE">
        <w:rPr>
          <w:rFonts w:ascii="Times New Roman" w:eastAsia="Times New Roman" w:hAnsi="Times New Roman" w:cs="Times New Roman"/>
          <w:sz w:val="26"/>
          <w:szCs w:val="26"/>
        </w:rPr>
        <w:t xml:space="preserve"> trái pháp luật;</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 Không chuyển dữ liệu điện tử về cơ quan thuế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quy định tại Nghị định này.</w:t>
      </w:r>
    </w:p>
    <w:p w:rsidR="001F1CBE" w:rsidRPr="001F1CBE" w:rsidRDefault="001F1CBE" w:rsidP="001F1CBE">
      <w:pPr>
        <w:spacing w:after="0" w:line="240" w:lineRule="auto"/>
        <w:jc w:val="both"/>
        <w:outlineLvl w:val="1"/>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5. Bổ sung các quy định mới về sử dụng hóa đơn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Khoản 5 Điều 8 Nghị định 70 sửa đổi, bổ sung điểm đ vào khoản 1, sửa đổi, bổ sung điểm b khoản 2, bổ sung khoản 2a vào sau khoản 2 và sửa đổi, bổ sung khoản 3 Điều 8 Nghị định 123 với các nội dung đáng chú ý như sau:</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5.1. Nhà cung cấp nước ngoài kinh doanh thương mại điện tử được sử dụng hóa đơn GTGT</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Bổ sung điểm đ vào khoản 1 Điều 8 quy định hóa đơn giá trị gia tăng là hóa đơn dành cho các tổ chức khai thuế giá trị gia tăng theo phương pháp khấu trừ được sử dụng cho hoạt động kinh doanh thương mại điện tử, kinh doanh dựa trên nền tảng số và các dịch vụ khác của nhà cung cấp ở nước ngoài không có cơ sở thường trú tại Việt Nam.</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5.2. Hướng dẫn doanh nghiệp chế xuất sử dụng hóa đơn GTGT</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Đây là nội dung mới được bổ sung tại điểm b khoản 2 Điều 8 Nghị định 123,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đó:</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Doanh nghiệp chế xuất có hoạt động kinh doanh khác (ngoài hoạt động chế xuất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quy định pháp luật về khu công nghiệp, khu chế xuất) khai thuế giá trị gia tăng theo phương pháp trực tiếp thì sử dụng hóa đơn theo phương pháp trực tiếp.</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Doanh nghiệp chế xuất khai thuế giá trị gia tăng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phương pháp khấu trừ thì sử dụng hóa đơn theo phương pháp khấu trừ.</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5.3. Bổ sung quy định mới về loại hóa đơn thương mại điện tử</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Đây là nội dung mới tại khoản 2a được bổ sung vào sau khoản 2 Điều 8, cụ thể:</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Hóa đơn thương mại điện tử là hóa đơn áp dụng đối với các tổ chức, doanh nghiệp, cá nhân (người xuất khẩu) có hoạt động xuất khẩu hàng hóa, cung cấp dịch vụ ra nước ngoài mà người xuất khẩu đáp ứng điều kiện chuyển dữ liệu hóa đơn thương mại bằng phương thức điện tử đến cơ quan thuế.</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lastRenderedPageBreak/>
        <w:t>Hóa đơn thương mại điện tử đáp ứng quy định về nội dung theo quy định tại Điều 10 Nghị định này và quy định về định dạng chuẩn dữ liệu của cơ quan thuế theo quy định tại Điều 12 Nghị định này.</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Trường hợp người xuất khẩu không đáp ứng điều kiện chuyển dữ liệu hóa đơn thương mại bằng phương thức điện tử đến cơ quan thuế thì lựa chọn lập hóa đơn giá trị gia tăng điện tử hoặc hóa đơn bán hàng điện tử.</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5.4. Quy định bao quát về các trường hợp sử dụng hóa đơn bán tài sản công</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Nghị định 70 sửa đổi, bổ sung khoản 3 Điều 8 về hóa đơn bán tài sản công theo hướng quy định bao quát, không còn liệt kệ cụ thể các loại tài sản sử dụng hóa đơn bán tài sản công để tránh trường hợp bỏ sót.</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Theo quy định mới, hóa đơn điện tử bán tài sản công được sử dụng khi bán, chuyển nhượng các tài sản công thực hiện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quy định của pháp luật về quản lý, sử dụng tài sản công.</w:t>
      </w:r>
    </w:p>
    <w:p w:rsidR="001F1CBE" w:rsidRPr="001F1CBE" w:rsidRDefault="001F1CBE" w:rsidP="001F1CBE">
      <w:pPr>
        <w:spacing w:after="0" w:line="240" w:lineRule="auto"/>
        <w:jc w:val="both"/>
        <w:outlineLvl w:val="1"/>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6. Quy định mới về thời điểm sử dụng hóa đơn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Khoản 1, khoản 2, điểm a, điểm e, điểm l, điểm m, điểm n khoản 4 Điều 9 và bổ sung điểm p, điểm q, điểm r vào khoản 4 Điều 9 Nghị định 123 quy định về hóa đơn được khoản 6 Điều 1 Nghị định 70 sửa đổi với nhiều nội dung mới như:</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6.1. Quy định rõ thời điểm lập hóa đơn đối với hàng hóa xuất khẩu</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Khoản 1 Điều 9 được bổ sung quy định làm rõ thời điểm lập hóa đơn đối với hàng hóa xuất khẩu như sau:</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Đối với xuất khẩu hàng hóa (bao gồm cả gia công xuất khẩu), thời điểm lập hóa đơn thương mại điện tử, hóa đơn giá trị gia tăng điện tử hoặc hóa đơn bán hàng điện tử do người bán tự xác định nhưng chậm nhất không quá ngày làm việc tiếp theo kể từ ngày hàng hóa được thông quan theo quy định pháp luật về hải quan.</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6.2. Sửa quy định về thời điểm lập hóa đơn đối với một số trường hợp cụ thể</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b/>
          <w:bCs/>
          <w:i/>
          <w:iCs/>
          <w:sz w:val="26"/>
          <w:szCs w:val="26"/>
        </w:rPr>
        <w:t>- Đối với các trường hợp bán hàng hóa, cung cấp dịch vụ với số lượng lớn, phát sinh thường xuyên, cần có thời gian đối soát số liệu giữa doanh nghiệp bán hàng hóa, cung cấp dịch vụ và khách hàng, đối tác</w:t>
      </w:r>
      <w:r w:rsidRPr="001F1CBE">
        <w:rPr>
          <w:rFonts w:ascii="Times New Roman" w:eastAsia="Times New Roman" w:hAnsi="Times New Roman" w:cs="Times New Roman"/>
          <w:sz w:val="26"/>
          <w:szCs w:val="26"/>
        </w:rPr>
        <w:t> gồm:</w:t>
      </w:r>
    </w:p>
    <w:p w:rsidR="001F1CBE" w:rsidRPr="001F1CBE" w:rsidRDefault="001F1CBE" w:rsidP="001F1CBE">
      <w:pPr>
        <w:numPr>
          <w:ilvl w:val="0"/>
          <w:numId w:val="2"/>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Cung cấp dịch vụ hỗ trợ trực tiếp cho vận tải hàng không, cung ứng nhiên liệu hàng không cho các hãng hàng không, hoạt động cung cấp điện (trừ đối tượng quy định tại điểm h khoản này)</w:t>
      </w:r>
    </w:p>
    <w:p w:rsidR="001F1CBE" w:rsidRPr="001F1CBE" w:rsidRDefault="001F1CBE" w:rsidP="001F1CBE">
      <w:pPr>
        <w:numPr>
          <w:ilvl w:val="0"/>
          <w:numId w:val="2"/>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b/>
          <w:bCs/>
          <w:i/>
          <w:iCs/>
          <w:sz w:val="26"/>
          <w:szCs w:val="26"/>
        </w:rPr>
        <w:t>Cung cấp dịch vụ hỗ trợ vận tải đường sắt (nội dung mới)</w:t>
      </w:r>
      <w:r w:rsidRPr="001F1CBE">
        <w:rPr>
          <w:rFonts w:ascii="Times New Roman" w:eastAsia="Times New Roman" w:hAnsi="Times New Roman" w:cs="Times New Roman"/>
          <w:b/>
          <w:bCs/>
          <w:sz w:val="26"/>
          <w:szCs w:val="26"/>
        </w:rPr>
        <w:t>,</w:t>
      </w:r>
      <w:r w:rsidRPr="001F1CBE">
        <w:rPr>
          <w:rFonts w:ascii="Times New Roman" w:eastAsia="Times New Roman" w:hAnsi="Times New Roman" w:cs="Times New Roman"/>
          <w:sz w:val="26"/>
          <w:szCs w:val="26"/>
        </w:rPr>
        <w:t> nước, dịch vụ truyền hình, </w:t>
      </w:r>
      <w:r w:rsidRPr="001F1CBE">
        <w:rPr>
          <w:rFonts w:ascii="Times New Roman" w:eastAsia="Times New Roman" w:hAnsi="Times New Roman" w:cs="Times New Roman"/>
          <w:b/>
          <w:bCs/>
          <w:i/>
          <w:iCs/>
          <w:sz w:val="26"/>
          <w:szCs w:val="26"/>
        </w:rPr>
        <w:t>dịch vụ quảng cáo truyền hình (nội dung mới), dịch vụ thương mại điện tử (nội dung mới)</w:t>
      </w:r>
      <w:r w:rsidRPr="001F1CBE">
        <w:rPr>
          <w:rFonts w:ascii="Times New Roman" w:eastAsia="Times New Roman" w:hAnsi="Times New Roman" w:cs="Times New Roman"/>
          <w:b/>
          <w:bCs/>
          <w:sz w:val="26"/>
          <w:szCs w:val="26"/>
        </w:rPr>
        <w:t>,</w:t>
      </w:r>
      <w:r w:rsidRPr="001F1CBE">
        <w:rPr>
          <w:rFonts w:ascii="Times New Roman" w:eastAsia="Times New Roman" w:hAnsi="Times New Roman" w:cs="Times New Roman"/>
          <w:sz w:val="26"/>
          <w:szCs w:val="26"/>
        </w:rPr>
        <w:t> dịch vụ bưu chính và chuyển phát (bao gồm cả dịch vụ đại lý, dịch vụ thu hộ, chi hộ), dịch vụ viễn thông (bao gồm cả dịch vụ viễn thông giá trị gia tăng)</w:t>
      </w:r>
    </w:p>
    <w:p w:rsidR="001F1CBE" w:rsidRPr="001F1CBE" w:rsidRDefault="001F1CBE" w:rsidP="001F1CBE">
      <w:pPr>
        <w:numPr>
          <w:ilvl w:val="0"/>
          <w:numId w:val="2"/>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Dịch vụ logistic, dịch vụ công nghệ thông tin (trừ trường hợp quy định tại điểm b khoản này) được bán theo kỳ nhất định, dịch vụ ngân hàng (trừ hoạt động cho vay),</w:t>
      </w:r>
    </w:p>
    <w:p w:rsidR="001F1CBE" w:rsidRPr="001F1CBE" w:rsidRDefault="001F1CBE" w:rsidP="001F1CBE">
      <w:pPr>
        <w:numPr>
          <w:ilvl w:val="0"/>
          <w:numId w:val="2"/>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b/>
          <w:bCs/>
          <w:i/>
          <w:iCs/>
          <w:sz w:val="26"/>
          <w:szCs w:val="26"/>
        </w:rPr>
        <w:t xml:space="preserve">Chuyển tiền quốc tế, dịch vụ chứng khoán, xổ số điện toán, </w:t>
      </w:r>
      <w:proofErr w:type="gramStart"/>
      <w:r w:rsidRPr="001F1CBE">
        <w:rPr>
          <w:rFonts w:ascii="Times New Roman" w:eastAsia="Times New Roman" w:hAnsi="Times New Roman" w:cs="Times New Roman"/>
          <w:b/>
          <w:bCs/>
          <w:i/>
          <w:iCs/>
          <w:sz w:val="26"/>
          <w:szCs w:val="26"/>
        </w:rPr>
        <w:t>thu</w:t>
      </w:r>
      <w:proofErr w:type="gramEnd"/>
      <w:r w:rsidRPr="001F1CBE">
        <w:rPr>
          <w:rFonts w:ascii="Times New Roman" w:eastAsia="Times New Roman" w:hAnsi="Times New Roman" w:cs="Times New Roman"/>
          <w:b/>
          <w:bCs/>
          <w:i/>
          <w:iCs/>
          <w:sz w:val="26"/>
          <w:szCs w:val="26"/>
        </w:rPr>
        <w:t xml:space="preserve"> phí sử dụng đường bộ giữa nhà đầu tư và nhà cung cấp dịch vụ thu phí và các trường hợp khác theo hướng dẫn của Bộ trưởng Bộ Tài chính (nội dung mở mới).</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Thời điểm lập hóa đơn trong các trường hợp trên là thời điểm hoàn thành việc đối soát dữ liệu giữa các bên nhưng chậm nhất không quá ngày 07 của tháng sau tháng phát sinh việc cung cấp dịch vụ hoặc không quá 07 ngày kể từ ngày kết thúc kỳ quy ước.</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Kỳ quy ước để làm căn cứ tính lượng hàng hóa, dịch vụ cung cấp căn cứ thỏa thuận giữa đơn vị bán hàng hóa, cung cấp dịch vụ với người mua.</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lastRenderedPageBreak/>
        <w:t>Advertisements</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b/>
          <w:bCs/>
          <w:sz w:val="26"/>
          <w:szCs w:val="26"/>
        </w:rPr>
        <w:t>- Đối với hoạt động tìm kiếm thăm dò, khai thác và chế biến dầu thô:</w:t>
      </w:r>
      <w:r w:rsidRPr="001F1CBE">
        <w:rPr>
          <w:rFonts w:ascii="Times New Roman" w:eastAsia="Times New Roman" w:hAnsi="Times New Roman" w:cs="Times New Roman"/>
          <w:sz w:val="26"/>
          <w:szCs w:val="26"/>
        </w:rPr>
        <w:t> Thời điểm lập hóa đơn bán dầu thô, condensate, 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Đối với hoạt động bán khí thiên nhiên, khí đồng hành, khí than được chuyển bằng đường ống dẫn khí đến người mua, thời điểm lập hóa đơn là thời điểm bên mua, bên bán xác định khối lượng khí giao của tháng nhưng chậm nhất là ngày cuối cùng của thời hạn kê khai, nộp thuế đối với tháng phát sinh nghĩa vụ thuế theo quy định pháp luật về thuế</w:t>
      </w:r>
      <w:r w:rsidRPr="001F1CBE">
        <w:rPr>
          <w:rFonts w:ascii="Times New Roman" w:eastAsia="Times New Roman" w:hAnsi="Times New Roman" w:cs="Times New Roman"/>
          <w:i/>
          <w:iCs/>
          <w:sz w:val="26"/>
          <w:szCs w:val="26"/>
        </w:rPr>
        <w:t> (trước đây quy định chậm nhất không quá 07 ngày kế tiếp kể từ ngày bên bán gửi thông báo lượng khí giao hàng tháng).</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Trường hợp thỏa thuận bảo lãnh và cam kết của Chính phủ có quy định khác về thời điểm lập hóa đơn thì thực hiện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quy định tại thỏa thuận bảo lãnh và cam kết của Chính phủ.”</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b/>
          <w:bCs/>
          <w:sz w:val="26"/>
          <w:szCs w:val="26"/>
        </w:rPr>
        <w:t>- Quy định cụ thể thời điểm lập hóa đơn với hoạt động cho vay, đổi ngoại tệ:</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Theo quy định mới, thời điểm lập hóa đơn đối với hoạt động cho vay được xác định theo kỳ hạn thu lãi tại hợp đồng tín dụng giữa tổ chức tín dụng và khách hàng đi vay, trừ trường hợp đến kỳ hạn thu lãi không thu được và tổ chức tín dụng theo dõi ngoại bảng theo quy định pháp luật về tín dụng thì thời điểm lập hóa đơn là thời điểm thu được tiền lãi vay của khách hàng.</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Trường hợp trả lãi trước hạn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hợp đồng tín dụng thì thời điểm lập hóa đơn là thời điểm thu lãi trước hạn.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Đối với hoạt động đại lý đổi ngoại tệ, hoạt động cung ứng dịch vụ nhận và chi, trả ngoại tệ của tổ chức kinh tế của tổ chức tín dụng, thời điểm lập hóa đơn là thời điểm đổi ngoại tệ, thời điểm hoàn thành dịch vụ nhận và chi trả ngoại tệ.</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i/>
          <w:iCs/>
          <w:sz w:val="26"/>
          <w:szCs w:val="26"/>
        </w:rPr>
        <w:t>Trong khi trước đây quy định điều khoản này quy định chung các trường hợp cung cấp dịch vụ ngân hàng, chứng khoán, bảo hiểm, dịch vụ chuyển tiền qua ví điện tử, dịch vụ ngừng và cấp điện trở lại của đơn vị phân phối điện cho người mua là cá nhân không kinh doanh (hoặc cá nhân kinh doanh) nhưng không có nhu cầu lấy hóa đơn thì cuối ngày hoặc cuối tháng đơn vị thực hiện xuất hóa đơn tổng căn cứ thông tin chi tiết từng giao dịch phát sinh trong ngày, trong tháng tại hệ thống quản lý dữ liệu của đơn vị.</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i/>
          <w:iCs/>
          <w:sz w:val="26"/>
          <w:szCs w:val="26"/>
        </w:rPr>
        <w:t xml:space="preserve">Đơn vị cung cấp dịch vụ phải chịu trách nhiệm về tính chính xác nội dung thông tin giao dịch và cung cấp bảng tổng hợp chi tiết dịch vụ cung cấp khi cơ quan chức năng yêu cầu. Trường hợp khách hàng yêu cầu lấy hóa đơn </w:t>
      </w:r>
      <w:proofErr w:type="gramStart"/>
      <w:r w:rsidRPr="001F1CBE">
        <w:rPr>
          <w:rFonts w:ascii="Times New Roman" w:eastAsia="Times New Roman" w:hAnsi="Times New Roman" w:cs="Times New Roman"/>
          <w:i/>
          <w:iCs/>
          <w:sz w:val="26"/>
          <w:szCs w:val="26"/>
        </w:rPr>
        <w:t>theo</w:t>
      </w:r>
      <w:proofErr w:type="gramEnd"/>
      <w:r w:rsidRPr="001F1CBE">
        <w:rPr>
          <w:rFonts w:ascii="Times New Roman" w:eastAsia="Times New Roman" w:hAnsi="Times New Roman" w:cs="Times New Roman"/>
          <w:i/>
          <w:iCs/>
          <w:sz w:val="26"/>
          <w:szCs w:val="26"/>
        </w:rPr>
        <w:t xml:space="preserve"> từng giao dịch thì đơn vị cung cấp dịch vụ phải lập hóa đơn giao cho khách hàng.</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b/>
          <w:bCs/>
          <w:sz w:val="26"/>
          <w:szCs w:val="26"/>
        </w:rPr>
        <w:t xml:space="preserve">- Đối với kinh doanh vận tải hành khách bằng </w:t>
      </w:r>
      <w:proofErr w:type="gramStart"/>
      <w:r w:rsidRPr="001F1CBE">
        <w:rPr>
          <w:rFonts w:ascii="Times New Roman" w:eastAsia="Times New Roman" w:hAnsi="Times New Roman" w:cs="Times New Roman"/>
          <w:b/>
          <w:bCs/>
          <w:sz w:val="26"/>
          <w:szCs w:val="26"/>
        </w:rPr>
        <w:t>xe</w:t>
      </w:r>
      <w:proofErr w:type="gramEnd"/>
      <w:r w:rsidRPr="001F1CBE">
        <w:rPr>
          <w:rFonts w:ascii="Times New Roman" w:eastAsia="Times New Roman" w:hAnsi="Times New Roman" w:cs="Times New Roman"/>
          <w:b/>
          <w:bCs/>
          <w:sz w:val="26"/>
          <w:szCs w:val="26"/>
        </w:rPr>
        <w:t xml:space="preserve"> taxi có sử dụng phần mềm tính tiền theo quy định của pháp luật:</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Tại thời điểm kết thúc chuyến đi, doanh nghiệp, hợp tác xã kinh doanh vận tải hành khách bằng xe taxi có sử dụng phần mềm tính tiền thực hiện lập hóa đơn điện tử cho khách hàng đồng thời chuyển dữ liệu hóa đơn đến cơ quan thuế theo quy định.</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proofErr w:type="gramStart"/>
      <w:r w:rsidRPr="001F1CBE">
        <w:rPr>
          <w:rFonts w:ascii="Times New Roman" w:eastAsia="Times New Roman" w:hAnsi="Times New Roman" w:cs="Times New Roman"/>
          <w:b/>
          <w:bCs/>
          <w:i/>
          <w:iCs/>
          <w:sz w:val="26"/>
          <w:szCs w:val="26"/>
        </w:rPr>
        <w:t>Quy định mới đã bãi bỏ các yêu cầu về thông tin gửi cho cơ quan thuế, thông tin gửi cho khách hàng.</w:t>
      </w:r>
      <w:proofErr w:type="gramEnd"/>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w:t>
      </w:r>
      <w:r w:rsidRPr="001F1CBE">
        <w:rPr>
          <w:rFonts w:ascii="Times New Roman" w:eastAsia="Times New Roman" w:hAnsi="Times New Roman" w:cs="Times New Roman"/>
          <w:b/>
          <w:bCs/>
          <w:sz w:val="26"/>
          <w:szCs w:val="26"/>
        </w:rPr>
        <w:t> Bổ sung quy định cơ sở khám bệnh, chữa bệnh lập hóa đơn cho cơ quan bảo hiểm xã hội</w:t>
      </w:r>
      <w:r w:rsidRPr="001F1CBE">
        <w:rPr>
          <w:rFonts w:ascii="Times New Roman" w:eastAsia="Times New Roman" w:hAnsi="Times New Roman" w:cs="Times New Roman"/>
          <w:sz w:val="26"/>
          <w:szCs w:val="26"/>
        </w:rPr>
        <w:t> tại thời điểm được cơ quan bảo hiểm xã hội thanh, quyết toán chi phí khám chữa bệnh cho người có thẻ bảo hiểm y tế.</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b/>
          <w:bCs/>
          <w:sz w:val="26"/>
          <w:szCs w:val="26"/>
        </w:rPr>
        <w:t>- Bổ sung quy định về thời điểm lập hóa đơn đối với hoạt động kinh doanh vé xổ số:</w:t>
      </w:r>
    </w:p>
    <w:p w:rsidR="001F1CBE" w:rsidRPr="001F1CBE" w:rsidRDefault="001F1CBE" w:rsidP="001F1CBE">
      <w:pPr>
        <w:spacing w:after="0" w:line="240" w:lineRule="auto"/>
        <w:ind w:firstLine="720"/>
        <w:jc w:val="both"/>
        <w:rPr>
          <w:rFonts w:ascii="Times New Roman" w:eastAsia="Times New Roman" w:hAnsi="Times New Roman" w:cs="Times New Roman"/>
          <w:i/>
          <w:iCs/>
          <w:sz w:val="26"/>
          <w:szCs w:val="26"/>
        </w:rPr>
      </w:pPr>
      <w:r w:rsidRPr="001F1CBE">
        <w:rPr>
          <w:rFonts w:ascii="Times New Roman" w:eastAsia="Times New Roman" w:hAnsi="Times New Roman" w:cs="Times New Roman"/>
          <w:i/>
          <w:iCs/>
          <w:sz w:val="26"/>
          <w:szCs w:val="26"/>
        </w:rPr>
        <w:lastRenderedPageBreak/>
        <w:t>Đối với hoạt động kinh doanh vé xổ số truyền thống, xổ số biết kết quả ngay (vé xổ số) theo hình thức bán vé số in sẵn đủ mệnh giá cho khách hàng thì sau khi thu hồi vé xổ số không tiêu thụ hết và chậm nhất là trước khi mở thưởng của kỳ tiếp theo, doanh nghiệp kinh doanh xổ số lập 01 hóa đơn giá trị gia tăng điện tử có mã của cơ quan thuế cho từng đại lý là tổ chức, cá nhân cho vé xổ số được bán trong kỳ gửi cơ quan thuế cấp mã cho hóa đơn.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b/>
          <w:bCs/>
          <w:sz w:val="26"/>
          <w:szCs w:val="26"/>
        </w:rPr>
        <w:t>- Bổ sung quy định về thời điểm lập hóa đơn đối với hoạt động kinh doanh casino và trò chơi điện tử có thưởng:</w:t>
      </w:r>
    </w:p>
    <w:p w:rsidR="001F1CBE" w:rsidRPr="001F1CBE" w:rsidRDefault="001F1CBE" w:rsidP="001F1CBE">
      <w:pPr>
        <w:spacing w:after="0" w:line="240" w:lineRule="auto"/>
        <w:ind w:firstLine="720"/>
        <w:jc w:val="both"/>
        <w:rPr>
          <w:rFonts w:ascii="Times New Roman" w:eastAsia="Times New Roman" w:hAnsi="Times New Roman" w:cs="Times New Roman"/>
          <w:i/>
          <w:iCs/>
          <w:sz w:val="26"/>
          <w:szCs w:val="26"/>
        </w:rPr>
      </w:pPr>
      <w:r w:rsidRPr="001F1CBE">
        <w:rPr>
          <w:rFonts w:ascii="Times New Roman" w:eastAsia="Times New Roman" w:hAnsi="Times New Roman" w:cs="Times New Roman"/>
          <w:i/>
          <w:iCs/>
          <w:sz w:val="26"/>
          <w:szCs w:val="26"/>
        </w:rPr>
        <w:t>Đối với hoạt động kinh doanh casino và trò chơi điện tử có thưởng, thời điểm lập hóa đơn điện tử chậm nhất là 01 ngày kể từ thời điểm kết thúc ngày xác định doanh thu, đồng thời doanh nghiệp kinh doanh casino và trò chơi điện tử có thưởng chuyển dữ liệu ghi nhận số tiền thu được (do đổi đồng tiền quy ước cho người chơi tại quầy, tại bàn chơi và số tiền thu tại máy trò chơi điện tử có thưởng) trừ đi số tiền đổi trả cho người chơi (do người chơi trúng thưởng hoặc người chơi không sử dụng hết) theo Mẫu 01/TH-DT Phụ lục IA ban hành kèm theo Nghị định này đến cơ quan thuế cùng thời điểm chuyển dữ liệu hóa đơn điện tử. Ngày xác định doanh thu là khoảng thời gian từ 0 giờ 00 phút đến 23 giờ 59 phút cùng ngày.</w:t>
      </w:r>
    </w:p>
    <w:p w:rsidR="001F1CBE" w:rsidRPr="001F1CBE" w:rsidRDefault="001F1CBE" w:rsidP="001F1CBE">
      <w:pPr>
        <w:spacing w:after="0" w:line="240" w:lineRule="auto"/>
        <w:jc w:val="both"/>
        <w:outlineLvl w:val="1"/>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7. Hướng dẫn mới về thông tin trên hóa đơn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Khoản 7 Điều 1 Nghị định 70 sửa đổi, bổ sung khoản 5, điểm a khoản 6, khoản 9, điểm c khoản 14 Điều 10 và bổ sung điểm l vào khoản 14, </w:t>
      </w:r>
      <w:proofErr w:type="gramStart"/>
      <w:r w:rsidRPr="001F1CBE">
        <w:rPr>
          <w:rFonts w:ascii="Times New Roman" w:eastAsia="Times New Roman" w:hAnsi="Times New Roman" w:cs="Times New Roman"/>
          <w:sz w:val="26"/>
          <w:szCs w:val="26"/>
        </w:rPr>
        <w:t>bổ</w:t>
      </w:r>
      <w:proofErr w:type="gramEnd"/>
      <w:r w:rsidRPr="001F1CBE">
        <w:rPr>
          <w:rFonts w:ascii="Times New Roman" w:eastAsia="Times New Roman" w:hAnsi="Times New Roman" w:cs="Times New Roman"/>
          <w:sz w:val="26"/>
          <w:szCs w:val="26"/>
        </w:rPr>
        <w:t xml:space="preserve"> sung khoản 17 vào Điều 10 Nghị định 123 với các nội dung đáng chú ý như:</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7.1. Hóa đơn phải ghi mã số đơn vị có quan hệ với ngân sách được cấp</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Đây là nội dung được bổ sung tại khoản 5 Điều 10 Nghị định 123, theo đó trường hợp người mua là đơn vị có quan hệ ngân sách thì tên, địa chỉ, mã số đơn vị có quan hệ ngân sách thể hiện trên hóa đơn phải ghi mã số đơn vị có quan hệ với ngân sách được cấp.</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7.2. Đơn vị vận tải trên nền tảng số phải số phải ghi mã số thuế người gửi hàng</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Điểm a khoản 6 Điều 10 được bổ sung quy định:</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người gửi hàng.</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7.3. Bổ sung quy định về lập hóa đơn khuyến mại, cho, biếu, tặng hàng hóa</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Trường hợp khuyến mại hàng hóa, dịch vụ theo quy định của pháp luật về thương mại; cho, biếu, tặng hàng hóa, dịch vụ phù hợp với quy định pháp luật thì được lập hóa đơn tổng giá trị khuyến mại, cho, biếu, tặng kèm theo danh sách khuyến mại, cho, biếu, tặng.</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Tổ chức lưu giữ hồ sơ có liên quan về chương trình khuyến mại, cho, biếu, tặng và cung cấp khi cơ quan có thẩm quyền yêu cầu và phải chịu trách nhiệm về tính chính xác nội dung thông tin giao dịch và cung cấp bảng tổng hợp chi tiết hàng hóa, dịch vụ khi cơ quan có thẩm quyền yêu cầu.</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Trường hợp khách hàng yêu cầu lấy hóa đơn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từng giao dịch thì người bán phải lập hóa đơn giao cho khách hàng.</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7.4. Hướng dẫn mới về thời điểm ký số khác thời điểm lập hóa đơn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Nghị định 70 bổ sung quy định hướng dẫn về thời điểm ký số khác thời điểm lập hóa đơn như sau:</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Trường hợp hóa đơn điện tử đã lập có thời điểm ký số trên hóa đơn khác thời điểm lập hóa đơn thì thời điểm ký số và thời điểm gửi cơ quan thuế cấp mã đối với hóa đơn có mã của cơ </w:t>
      </w:r>
      <w:r w:rsidRPr="001F1CBE">
        <w:rPr>
          <w:rFonts w:ascii="Times New Roman" w:eastAsia="Times New Roman" w:hAnsi="Times New Roman" w:cs="Times New Roman"/>
          <w:sz w:val="26"/>
          <w:szCs w:val="26"/>
        </w:rPr>
        <w:lastRenderedPageBreak/>
        <w:t>quan thuế hoặc thời điểm chuyển dữ liệu hóa đơn điện tử đến cơ quan thuế đối với hóa đơn điện tử không có mã của cơ quan thuế chậm nhất là ngày làm việc tiếp theo kể từ thời điểm lập hóa đơn (trừ trường hợp gửi dữ liệu theo bảng tổng hợp quy định tại điểm a.1 khoản 3 Điều 22 Nghị định này).</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Người bán khai thuế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thời điểm lập hóa đơn; thời điểm khai thuế đối với người mua là thời điểm nhận hóa đơn đảm bảo đúng, đầy đủ về hình thức và nội dung theo quy định tại Điều 10 Nghị định này.</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7.5. Hóa đơn điện tử kinh doanh casino, trò chơi điện tử không cần có thông tin người mua</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Nghị định 70 bổ sung điểm l vào khoản 14 Điều 10 với quy định: Đối với hóa đơn điện tử hoạt động kinh doanh casino, trò chơi điện tử có thưởng không nhất thiết phải có tên, địa chỉ, mã số thuế của người mua, </w:t>
      </w:r>
      <w:proofErr w:type="gramStart"/>
      <w:r w:rsidRPr="001F1CBE">
        <w:rPr>
          <w:rFonts w:ascii="Times New Roman" w:eastAsia="Times New Roman" w:hAnsi="Times New Roman" w:cs="Times New Roman"/>
          <w:sz w:val="26"/>
          <w:szCs w:val="26"/>
        </w:rPr>
        <w:t>chữ</w:t>
      </w:r>
      <w:proofErr w:type="gramEnd"/>
      <w:r w:rsidRPr="001F1CBE">
        <w:rPr>
          <w:rFonts w:ascii="Times New Roman" w:eastAsia="Times New Roman" w:hAnsi="Times New Roman" w:cs="Times New Roman"/>
          <w:sz w:val="26"/>
          <w:szCs w:val="26"/>
        </w:rPr>
        <w:t xml:space="preserve"> ký số của người mua.</w:t>
      </w:r>
    </w:p>
    <w:p w:rsidR="001F1CBE" w:rsidRPr="001F1CBE" w:rsidRDefault="001F1CBE" w:rsidP="001F1CBE">
      <w:pPr>
        <w:spacing w:after="0" w:line="240" w:lineRule="auto"/>
        <w:jc w:val="both"/>
        <w:outlineLvl w:val="1"/>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8. Hướng dẫn mới về hóa đơn điện tử khởi tạo từ máy tính tiền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Điều 11 Nghị định 123 được bổ sung các nội dung sau:</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8.1. Các trường hợp sử dụng hóa đơn điện tử khởi tạo từ máy tính tiền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Hướng dẫn cụ thể các trường hợp sử dụng hóa đơn điện tử khởi tạo từ máy tính tiền kết nối chuyển dữ liệu điện tử với cơ quan thuế là: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bao gồm:</w:t>
      </w:r>
    </w:p>
    <w:p w:rsidR="001F1CBE" w:rsidRPr="001F1CBE" w:rsidRDefault="001F1CBE" w:rsidP="001F1CBE">
      <w:pPr>
        <w:numPr>
          <w:ilvl w:val="0"/>
          <w:numId w:val="3"/>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Trung tâm thương mại; siêu thị; bán lẻ (trừ ô tô, mô tô, xe máy và xe có động cơ khác);</w:t>
      </w:r>
    </w:p>
    <w:p w:rsidR="001F1CBE" w:rsidRPr="001F1CBE" w:rsidRDefault="001F1CBE" w:rsidP="001F1CBE">
      <w:pPr>
        <w:numPr>
          <w:ilvl w:val="0"/>
          <w:numId w:val="3"/>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w:t>
      </w:r>
    </w:p>
    <w:p w:rsidR="001F1CBE" w:rsidRPr="001F1CBE" w:rsidRDefault="001F1CBE" w:rsidP="001F1CBE">
      <w:pPr>
        <w:spacing w:after="0" w:line="240" w:lineRule="auto"/>
        <w:jc w:val="both"/>
        <w:outlineLvl w:val="2"/>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8.2. Nội dung hóa đơn điện tử khởi tạo từ máy tính tiền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Hóa đơn điện tử khởi tạo từ máy tính tiền có các nội dung sau đây:</w:t>
      </w:r>
    </w:p>
    <w:p w:rsidR="001F1CBE" w:rsidRPr="001F1CBE" w:rsidRDefault="001F1CBE" w:rsidP="001F1CBE">
      <w:pPr>
        <w:numPr>
          <w:ilvl w:val="0"/>
          <w:numId w:val="4"/>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Tên, địa chỉ, mã số thuế người bán;</w:t>
      </w:r>
    </w:p>
    <w:p w:rsidR="001F1CBE" w:rsidRPr="001F1CBE" w:rsidRDefault="001F1CBE" w:rsidP="001F1CBE">
      <w:pPr>
        <w:numPr>
          <w:ilvl w:val="0"/>
          <w:numId w:val="4"/>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Tên, địa chỉ, mã số thuế/số định danh cá nhân/số điện thoại của người mua theo quy định (nếu người mua yêu cầu);</w:t>
      </w:r>
    </w:p>
    <w:p w:rsidR="001F1CBE" w:rsidRPr="001F1CBE" w:rsidRDefault="001F1CBE" w:rsidP="001F1CBE">
      <w:pPr>
        <w:numPr>
          <w:ilvl w:val="0"/>
          <w:numId w:val="4"/>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Tên hàng hóa, dịch vụ, đơn giá, số lượng, </w:t>
      </w:r>
      <w:proofErr w:type="gramStart"/>
      <w:r w:rsidRPr="001F1CBE">
        <w:rPr>
          <w:rFonts w:ascii="Times New Roman" w:eastAsia="Times New Roman" w:hAnsi="Times New Roman" w:cs="Times New Roman"/>
          <w:sz w:val="26"/>
          <w:szCs w:val="26"/>
        </w:rPr>
        <w:t>giá</w:t>
      </w:r>
      <w:proofErr w:type="gramEnd"/>
      <w:r w:rsidRPr="001F1CBE">
        <w:rPr>
          <w:rFonts w:ascii="Times New Roman" w:eastAsia="Times New Roman" w:hAnsi="Times New Roman" w:cs="Times New Roman"/>
          <w:sz w:val="26"/>
          <w:szCs w:val="26"/>
        </w:rPr>
        <w:t xml:space="preserve"> thanh toán. Trường hợp tổ chức, doanh nghiệp nộp thuế theo phương pháp khấu trừ phải ghi rõ nội dung giá bán chưa thuế giá trị gia tăng, thuế suất thuế giá trị gia tăng, tiền thuế giá trị gia tăng, tổng tiền thanh toán có thuế giá trị gia tăng;</w:t>
      </w:r>
    </w:p>
    <w:p w:rsidR="001F1CBE" w:rsidRPr="001F1CBE" w:rsidRDefault="001F1CBE" w:rsidP="001F1CBE">
      <w:pPr>
        <w:numPr>
          <w:ilvl w:val="0"/>
          <w:numId w:val="4"/>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Thời điểm lập hóa đơn;</w:t>
      </w:r>
    </w:p>
    <w:p w:rsidR="001F1CBE" w:rsidRPr="001F1CBE" w:rsidRDefault="001F1CBE" w:rsidP="001F1CBE">
      <w:pPr>
        <w:numPr>
          <w:ilvl w:val="0"/>
          <w:numId w:val="4"/>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Mã của cơ quan thuế hoặc dữ liệu điện tử để người mua có thể truy xuất, kê khai thông tin hóa đơn điện tử khởi tạo từ máy tính tiền.</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Người bán gửi hoá đơn điện tử cho người mua bằng hình thức điện tử (tin nhắn, </w:t>
      </w:r>
      <w:proofErr w:type="gramStart"/>
      <w:r w:rsidRPr="001F1CBE">
        <w:rPr>
          <w:rFonts w:ascii="Times New Roman" w:eastAsia="Times New Roman" w:hAnsi="Times New Roman" w:cs="Times New Roman"/>
          <w:sz w:val="26"/>
          <w:szCs w:val="26"/>
        </w:rPr>
        <w:t>thư</w:t>
      </w:r>
      <w:proofErr w:type="gramEnd"/>
      <w:r w:rsidRPr="001F1CBE">
        <w:rPr>
          <w:rFonts w:ascii="Times New Roman" w:eastAsia="Times New Roman" w:hAnsi="Times New Roman" w:cs="Times New Roman"/>
          <w:sz w:val="26"/>
          <w:szCs w:val="26"/>
        </w:rPr>
        <w:t xml:space="preserve"> điện tử và các hình thức khác) hoặc cung cấp đường dẫn hoặc mã QR để người mua tra cứu, tải hoá đơn điện tử.</w:t>
      </w:r>
    </w:p>
    <w:p w:rsidR="001F1CBE" w:rsidRPr="001F1CBE" w:rsidRDefault="001F1CBE" w:rsidP="001F1CBE">
      <w:pPr>
        <w:spacing w:after="0" w:line="240" w:lineRule="auto"/>
        <w:jc w:val="both"/>
        <w:outlineLvl w:val="1"/>
        <w:rPr>
          <w:rFonts w:ascii="Times New Roman" w:eastAsia="Times New Roman" w:hAnsi="Times New Roman" w:cs="Times New Roman"/>
          <w:b/>
          <w:bCs/>
          <w:sz w:val="26"/>
          <w:szCs w:val="26"/>
        </w:rPr>
      </w:pPr>
      <w:r w:rsidRPr="001F1CBE">
        <w:rPr>
          <w:rFonts w:ascii="Times New Roman" w:eastAsia="Times New Roman" w:hAnsi="Times New Roman" w:cs="Times New Roman"/>
          <w:b/>
          <w:bCs/>
          <w:sz w:val="26"/>
          <w:szCs w:val="26"/>
        </w:rPr>
        <w:t xml:space="preserve">9. Bổ sung thêm trường hợp cấp hóa đơn điện tử có mã của cơ quan thuế </w:t>
      </w:r>
      <w:proofErr w:type="gramStart"/>
      <w:r w:rsidRPr="001F1CBE">
        <w:rPr>
          <w:rFonts w:ascii="Times New Roman" w:eastAsia="Times New Roman" w:hAnsi="Times New Roman" w:cs="Times New Roman"/>
          <w:b/>
          <w:bCs/>
          <w:sz w:val="26"/>
          <w:szCs w:val="26"/>
        </w:rPr>
        <w:t>theo</w:t>
      </w:r>
      <w:proofErr w:type="gramEnd"/>
      <w:r w:rsidRPr="001F1CBE">
        <w:rPr>
          <w:rFonts w:ascii="Times New Roman" w:eastAsia="Times New Roman" w:hAnsi="Times New Roman" w:cs="Times New Roman"/>
          <w:b/>
          <w:bCs/>
          <w:sz w:val="26"/>
          <w:szCs w:val="26"/>
        </w:rPr>
        <w:t xml:space="preserve"> từng lần phát sinh</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Khoản 2 Điều 13 Nghị định 123 được bổ sung như sau:</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 Thêm trường hợp cấp hóa đơn điện tử có mã của cơ quan thuế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từng lần phát sinh là hóa đơn bán hàng:</w:t>
      </w:r>
    </w:p>
    <w:p w:rsidR="001F1CBE" w:rsidRPr="001F1CBE" w:rsidRDefault="001F1CBE" w:rsidP="001F1CBE">
      <w:pPr>
        <w:numPr>
          <w:ilvl w:val="0"/>
          <w:numId w:val="5"/>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lastRenderedPageBreak/>
        <w:t>Doanh nghiệp đang làm thủ tục phá sản nhưng vẫn có hoạt động kinh doanh dưới sự giám sát của Tòa án;</w:t>
      </w:r>
    </w:p>
    <w:p w:rsidR="001F1CBE" w:rsidRPr="001F1CBE" w:rsidRDefault="001F1CBE" w:rsidP="001F1CBE">
      <w:pPr>
        <w:numPr>
          <w:ilvl w:val="0"/>
          <w:numId w:val="5"/>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Doanh nghiệp, tổ chức kinh tế, tổ chức khác, hộ kinh doanh, cá nhân kinh doanh trong thời gian giải trình hoặc bổ sung tài liệu quy định tại điểm d khoản 2 Điều 16 Nghị định này.</w:t>
      </w:r>
    </w:p>
    <w:p w:rsidR="001F1CBE" w:rsidRPr="001F1CBE" w:rsidRDefault="001F1CBE" w:rsidP="001F1CBE">
      <w:pPr>
        <w:spacing w:after="0" w:line="240" w:lineRule="auto"/>
        <w:ind w:firstLine="72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 Thêm trường hợp cấp hóa đơn điện tử có mã của cơ quan thuế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từng lần phát sinh là hóa đơn giá trị gia tăng:</w:t>
      </w:r>
    </w:p>
    <w:p w:rsidR="001F1CBE" w:rsidRPr="001F1CBE" w:rsidRDefault="001F1CBE" w:rsidP="001F1CBE">
      <w:pPr>
        <w:spacing w:after="0" w:line="240" w:lineRule="auto"/>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 xml:space="preserve">Doanh nghiệp, tổ chức kinh tế, tổ chức khác thuộc diện nộp thuế giá trị gia tăng </w:t>
      </w:r>
      <w:proofErr w:type="gramStart"/>
      <w:r w:rsidRPr="001F1CBE">
        <w:rPr>
          <w:rFonts w:ascii="Times New Roman" w:eastAsia="Times New Roman" w:hAnsi="Times New Roman" w:cs="Times New Roman"/>
          <w:sz w:val="26"/>
          <w:szCs w:val="26"/>
        </w:rPr>
        <w:t>theo</w:t>
      </w:r>
      <w:proofErr w:type="gramEnd"/>
      <w:r w:rsidRPr="001F1CBE">
        <w:rPr>
          <w:rFonts w:ascii="Times New Roman" w:eastAsia="Times New Roman" w:hAnsi="Times New Roman" w:cs="Times New Roman"/>
          <w:sz w:val="26"/>
          <w:szCs w:val="26"/>
        </w:rPr>
        <w:t xml:space="preserve"> phương pháp khấu trừ thuộc trường hợp:</w:t>
      </w:r>
    </w:p>
    <w:p w:rsidR="001F1CBE" w:rsidRPr="001F1CBE" w:rsidRDefault="001F1CBE" w:rsidP="001F1CBE">
      <w:pPr>
        <w:numPr>
          <w:ilvl w:val="0"/>
          <w:numId w:val="6"/>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Doanh nghiệp đang làm thủ tục phá sản nhưng vẫn có hoạt động kinh doanh dưới sự giám sát của Tòa án;</w:t>
      </w:r>
    </w:p>
    <w:p w:rsidR="001F1CBE" w:rsidRPr="001F1CBE" w:rsidRDefault="001F1CBE" w:rsidP="001F1CBE">
      <w:pPr>
        <w:numPr>
          <w:ilvl w:val="0"/>
          <w:numId w:val="6"/>
        </w:numPr>
        <w:spacing w:after="0" w:line="240" w:lineRule="auto"/>
        <w:ind w:left="0"/>
        <w:jc w:val="both"/>
        <w:rPr>
          <w:rFonts w:ascii="Times New Roman" w:eastAsia="Times New Roman" w:hAnsi="Times New Roman" w:cs="Times New Roman"/>
          <w:sz w:val="26"/>
          <w:szCs w:val="26"/>
        </w:rPr>
      </w:pPr>
      <w:r w:rsidRPr="001F1CBE">
        <w:rPr>
          <w:rFonts w:ascii="Times New Roman" w:eastAsia="Times New Roman" w:hAnsi="Times New Roman" w:cs="Times New Roman"/>
          <w:sz w:val="26"/>
          <w:szCs w:val="26"/>
        </w:rPr>
        <w:t>Doanh nghiệp, tổ chức kinh tế, tổ chức khác trong thời gian giải trình hoặc bổ sung tài liệu quy định tại điểm d khoản 2 Điều 16 Nghị định này.</w:t>
      </w:r>
    </w:p>
    <w:p w:rsidR="00AF481E" w:rsidRPr="001F1CBE" w:rsidRDefault="001F1CBE" w:rsidP="001F1CBE">
      <w:pPr>
        <w:spacing w:after="0" w:line="240" w:lineRule="auto"/>
        <w:jc w:val="both"/>
        <w:rPr>
          <w:rFonts w:ascii="Times New Roman" w:hAnsi="Times New Roman" w:cs="Times New Roman"/>
          <w:i/>
          <w:sz w:val="26"/>
          <w:szCs w:val="26"/>
        </w:rPr>
      </w:pPr>
      <w:r w:rsidRPr="001F1CBE">
        <w:rPr>
          <w:rFonts w:ascii="Times New Roman" w:hAnsi="Times New Roman" w:cs="Times New Roman"/>
          <w:i/>
          <w:sz w:val="26"/>
          <w:szCs w:val="26"/>
        </w:rPr>
        <w:t>Nguồn: Tác giả Kim Anh</w:t>
      </w:r>
      <w:bookmarkEnd w:id="0"/>
    </w:p>
    <w:sectPr w:rsidR="00AF481E" w:rsidRPr="001F1CBE" w:rsidSect="001F1CB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3F"/>
    <w:multiLevelType w:val="multilevel"/>
    <w:tmpl w:val="8EF49EB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1BA24EFA"/>
    <w:multiLevelType w:val="multilevel"/>
    <w:tmpl w:val="1272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25FFE"/>
    <w:multiLevelType w:val="multilevel"/>
    <w:tmpl w:val="9838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0E0D12"/>
    <w:multiLevelType w:val="multilevel"/>
    <w:tmpl w:val="2A2C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AD21D6"/>
    <w:multiLevelType w:val="multilevel"/>
    <w:tmpl w:val="77DE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3F4462"/>
    <w:multiLevelType w:val="multilevel"/>
    <w:tmpl w:val="590E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BE"/>
    <w:rsid w:val="001F1CBE"/>
    <w:rsid w:val="00AF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1C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1C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1C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C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1C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1CB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F1CBE"/>
    <w:rPr>
      <w:color w:val="0000FF"/>
      <w:u w:val="single"/>
    </w:rPr>
  </w:style>
  <w:style w:type="character" w:styleId="Strong">
    <w:name w:val="Strong"/>
    <w:basedOn w:val="DefaultParagraphFont"/>
    <w:uiPriority w:val="22"/>
    <w:qFormat/>
    <w:rsid w:val="001F1CBE"/>
    <w:rPr>
      <w:b/>
      <w:bCs/>
    </w:rPr>
  </w:style>
  <w:style w:type="character" w:customStyle="1" w:styleId="toc-title">
    <w:name w:val="toc-title"/>
    <w:basedOn w:val="DefaultParagraphFont"/>
    <w:rsid w:val="001F1CBE"/>
  </w:style>
  <w:style w:type="character" w:customStyle="1" w:styleId="toc-show">
    <w:name w:val="toc-show"/>
    <w:basedOn w:val="DefaultParagraphFont"/>
    <w:rsid w:val="001F1CBE"/>
  </w:style>
  <w:style w:type="character" w:customStyle="1" w:styleId="toctext">
    <w:name w:val="toctext"/>
    <w:basedOn w:val="DefaultParagraphFont"/>
    <w:rsid w:val="001F1CBE"/>
  </w:style>
  <w:style w:type="character" w:customStyle="1" w:styleId="toc-more-show">
    <w:name w:val="toc-more-show"/>
    <w:basedOn w:val="DefaultParagraphFont"/>
    <w:rsid w:val="001F1CBE"/>
  </w:style>
  <w:style w:type="paragraph" w:styleId="NormalWeb">
    <w:name w:val="Normal (Web)"/>
    <w:basedOn w:val="Normal"/>
    <w:uiPriority w:val="99"/>
    <w:semiHidden/>
    <w:unhideWhenUsed/>
    <w:rsid w:val="001F1C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1CBE"/>
    <w:rPr>
      <w:i/>
      <w:iCs/>
    </w:rPr>
  </w:style>
  <w:style w:type="paragraph" w:styleId="BalloonText">
    <w:name w:val="Balloon Text"/>
    <w:basedOn w:val="Normal"/>
    <w:link w:val="BalloonTextChar"/>
    <w:uiPriority w:val="99"/>
    <w:semiHidden/>
    <w:unhideWhenUsed/>
    <w:rsid w:val="001F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1C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1C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1C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C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1C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1CB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F1CBE"/>
    <w:rPr>
      <w:color w:val="0000FF"/>
      <w:u w:val="single"/>
    </w:rPr>
  </w:style>
  <w:style w:type="character" w:styleId="Strong">
    <w:name w:val="Strong"/>
    <w:basedOn w:val="DefaultParagraphFont"/>
    <w:uiPriority w:val="22"/>
    <w:qFormat/>
    <w:rsid w:val="001F1CBE"/>
    <w:rPr>
      <w:b/>
      <w:bCs/>
    </w:rPr>
  </w:style>
  <w:style w:type="character" w:customStyle="1" w:styleId="toc-title">
    <w:name w:val="toc-title"/>
    <w:basedOn w:val="DefaultParagraphFont"/>
    <w:rsid w:val="001F1CBE"/>
  </w:style>
  <w:style w:type="character" w:customStyle="1" w:styleId="toc-show">
    <w:name w:val="toc-show"/>
    <w:basedOn w:val="DefaultParagraphFont"/>
    <w:rsid w:val="001F1CBE"/>
  </w:style>
  <w:style w:type="character" w:customStyle="1" w:styleId="toctext">
    <w:name w:val="toctext"/>
    <w:basedOn w:val="DefaultParagraphFont"/>
    <w:rsid w:val="001F1CBE"/>
  </w:style>
  <w:style w:type="character" w:customStyle="1" w:styleId="toc-more-show">
    <w:name w:val="toc-more-show"/>
    <w:basedOn w:val="DefaultParagraphFont"/>
    <w:rsid w:val="001F1CBE"/>
  </w:style>
  <w:style w:type="paragraph" w:styleId="NormalWeb">
    <w:name w:val="Normal (Web)"/>
    <w:basedOn w:val="Normal"/>
    <w:uiPriority w:val="99"/>
    <w:semiHidden/>
    <w:unhideWhenUsed/>
    <w:rsid w:val="001F1C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1CBE"/>
    <w:rPr>
      <w:i/>
      <w:iCs/>
    </w:rPr>
  </w:style>
  <w:style w:type="paragraph" w:styleId="BalloonText">
    <w:name w:val="Balloon Text"/>
    <w:basedOn w:val="Normal"/>
    <w:link w:val="BalloonTextChar"/>
    <w:uiPriority w:val="99"/>
    <w:semiHidden/>
    <w:unhideWhenUsed/>
    <w:rsid w:val="001F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00082">
      <w:bodyDiv w:val="1"/>
      <w:marLeft w:val="0"/>
      <w:marRight w:val="0"/>
      <w:marTop w:val="0"/>
      <w:marBottom w:val="0"/>
      <w:divBdr>
        <w:top w:val="none" w:sz="0" w:space="0" w:color="auto"/>
        <w:left w:val="none" w:sz="0" w:space="0" w:color="auto"/>
        <w:bottom w:val="none" w:sz="0" w:space="0" w:color="auto"/>
        <w:right w:val="none" w:sz="0" w:space="0" w:color="auto"/>
      </w:divBdr>
      <w:divsChild>
        <w:div w:id="455101944">
          <w:marLeft w:val="0"/>
          <w:marRight w:val="0"/>
          <w:marTop w:val="0"/>
          <w:marBottom w:val="0"/>
          <w:divBdr>
            <w:top w:val="none" w:sz="0" w:space="0" w:color="auto"/>
            <w:left w:val="none" w:sz="0" w:space="0" w:color="auto"/>
            <w:bottom w:val="none" w:sz="0" w:space="0" w:color="auto"/>
            <w:right w:val="none" w:sz="0" w:space="0" w:color="auto"/>
          </w:divBdr>
          <w:divsChild>
            <w:div w:id="1501777678">
              <w:marLeft w:val="0"/>
              <w:marRight w:val="240"/>
              <w:marTop w:val="0"/>
              <w:marBottom w:val="0"/>
              <w:divBdr>
                <w:top w:val="none" w:sz="0" w:space="0" w:color="auto"/>
                <w:left w:val="none" w:sz="0" w:space="0" w:color="auto"/>
                <w:bottom w:val="none" w:sz="0" w:space="0" w:color="auto"/>
                <w:right w:val="none" w:sz="0" w:space="0" w:color="auto"/>
              </w:divBdr>
              <w:divsChild>
                <w:div w:id="1319766022">
                  <w:marLeft w:val="0"/>
                  <w:marRight w:val="0"/>
                  <w:marTop w:val="0"/>
                  <w:marBottom w:val="0"/>
                  <w:divBdr>
                    <w:top w:val="none" w:sz="0" w:space="0" w:color="auto"/>
                    <w:left w:val="none" w:sz="0" w:space="0" w:color="auto"/>
                    <w:bottom w:val="none" w:sz="0" w:space="0" w:color="auto"/>
                    <w:right w:val="none" w:sz="0" w:space="0" w:color="auto"/>
                  </w:divBdr>
                  <w:divsChild>
                    <w:div w:id="3370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0924">
              <w:marLeft w:val="0"/>
              <w:marRight w:val="0"/>
              <w:marTop w:val="0"/>
              <w:marBottom w:val="0"/>
              <w:divBdr>
                <w:top w:val="none" w:sz="0" w:space="0" w:color="auto"/>
                <w:left w:val="none" w:sz="0" w:space="0" w:color="auto"/>
                <w:bottom w:val="none" w:sz="0" w:space="0" w:color="auto"/>
                <w:right w:val="none" w:sz="0" w:space="0" w:color="auto"/>
              </w:divBdr>
              <w:divsChild>
                <w:div w:id="1224100427">
                  <w:marLeft w:val="0"/>
                  <w:marRight w:val="0"/>
                  <w:marTop w:val="0"/>
                  <w:marBottom w:val="0"/>
                  <w:divBdr>
                    <w:top w:val="none" w:sz="0" w:space="0" w:color="auto"/>
                    <w:left w:val="none" w:sz="0" w:space="0" w:color="auto"/>
                    <w:bottom w:val="none" w:sz="0" w:space="0" w:color="auto"/>
                    <w:right w:val="none" w:sz="0" w:space="0" w:color="auto"/>
                  </w:divBdr>
                  <w:divsChild>
                    <w:div w:id="16530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3621">
          <w:marLeft w:val="0"/>
          <w:marRight w:val="0"/>
          <w:marTop w:val="0"/>
          <w:marBottom w:val="240"/>
          <w:divBdr>
            <w:top w:val="none" w:sz="0" w:space="0" w:color="auto"/>
            <w:left w:val="none" w:sz="0" w:space="0" w:color="auto"/>
            <w:bottom w:val="none" w:sz="0" w:space="0" w:color="auto"/>
            <w:right w:val="none" w:sz="0" w:space="0" w:color="auto"/>
          </w:divBdr>
          <w:divsChild>
            <w:div w:id="1012292782">
              <w:marLeft w:val="0"/>
              <w:marRight w:val="0"/>
              <w:marTop w:val="0"/>
              <w:marBottom w:val="0"/>
              <w:divBdr>
                <w:top w:val="none" w:sz="0" w:space="0" w:color="auto"/>
                <w:left w:val="none" w:sz="0" w:space="0" w:color="auto"/>
                <w:bottom w:val="none" w:sz="0" w:space="0" w:color="auto"/>
                <w:right w:val="none" w:sz="0" w:space="0" w:color="auto"/>
              </w:divBdr>
            </w:div>
            <w:div w:id="1158838511">
              <w:marLeft w:val="0"/>
              <w:marRight w:val="0"/>
              <w:marTop w:val="240"/>
              <w:marBottom w:val="240"/>
              <w:divBdr>
                <w:top w:val="single" w:sz="6" w:space="9" w:color="E0E0E0"/>
                <w:left w:val="single" w:sz="6" w:space="12" w:color="E0E0E0"/>
                <w:bottom w:val="single" w:sz="6" w:space="9" w:color="E0E0E0"/>
                <w:right w:val="single" w:sz="6" w:space="12" w:color="E0E0E0"/>
              </w:divBdr>
              <w:divsChild>
                <w:div w:id="231626940">
                  <w:marLeft w:val="0"/>
                  <w:marRight w:val="0"/>
                  <w:marTop w:val="0"/>
                  <w:marBottom w:val="0"/>
                  <w:divBdr>
                    <w:top w:val="none" w:sz="0" w:space="0" w:color="auto"/>
                    <w:left w:val="none" w:sz="0" w:space="0" w:color="auto"/>
                    <w:bottom w:val="none" w:sz="0" w:space="0" w:color="auto"/>
                    <w:right w:val="none" w:sz="0" w:space="0" w:color="auto"/>
                  </w:divBdr>
                  <w:divsChild>
                    <w:div w:id="1159997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6389130">
              <w:marLeft w:val="0"/>
              <w:marRight w:val="0"/>
              <w:marTop w:val="0"/>
              <w:marBottom w:val="0"/>
              <w:divBdr>
                <w:top w:val="none" w:sz="0" w:space="0" w:color="auto"/>
                <w:left w:val="none" w:sz="0" w:space="0" w:color="auto"/>
                <w:bottom w:val="none" w:sz="0" w:space="0" w:color="auto"/>
                <w:right w:val="none" w:sz="0" w:space="0" w:color="auto"/>
              </w:divBdr>
              <w:divsChild>
                <w:div w:id="1738749151">
                  <w:marLeft w:val="0"/>
                  <w:marRight w:val="0"/>
                  <w:marTop w:val="0"/>
                  <w:marBottom w:val="0"/>
                  <w:divBdr>
                    <w:top w:val="none" w:sz="0" w:space="0" w:color="auto"/>
                    <w:left w:val="none" w:sz="0" w:space="0" w:color="auto"/>
                    <w:bottom w:val="none" w:sz="0" w:space="0" w:color="auto"/>
                    <w:right w:val="none" w:sz="0" w:space="0" w:color="auto"/>
                  </w:divBdr>
                  <w:divsChild>
                    <w:div w:id="2130975692">
                      <w:marLeft w:val="0"/>
                      <w:marRight w:val="0"/>
                      <w:marTop w:val="0"/>
                      <w:marBottom w:val="0"/>
                      <w:divBdr>
                        <w:top w:val="none" w:sz="0" w:space="0" w:color="auto"/>
                        <w:left w:val="none" w:sz="0" w:space="0" w:color="auto"/>
                        <w:bottom w:val="none" w:sz="0" w:space="0" w:color="auto"/>
                        <w:right w:val="none" w:sz="0" w:space="0" w:color="auto"/>
                      </w:divBdr>
                      <w:divsChild>
                        <w:div w:id="16359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54340">
                  <w:blockQuote w:val="1"/>
                  <w:marLeft w:val="420"/>
                  <w:marRight w:val="0"/>
                  <w:marTop w:val="0"/>
                  <w:marBottom w:val="0"/>
                  <w:divBdr>
                    <w:top w:val="none" w:sz="0" w:space="0" w:color="auto"/>
                    <w:left w:val="single" w:sz="18" w:space="12" w:color="CCCCCC"/>
                    <w:bottom w:val="none" w:sz="0" w:space="0" w:color="auto"/>
                    <w:right w:val="none" w:sz="0" w:space="0" w:color="auto"/>
                  </w:divBdr>
                </w:div>
                <w:div w:id="974529134">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uatvietnam.vn/tai-chinh/nghi-dinh-123-2020-nd-cp-quy-dinh-ve-hoa-don-chung-tu-192667-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tai-chinh/nghi-dinh-70-2025-nd-cp-cua-chinh-phu-sua-doi-bo-sung-mot-so-dieu-cua-nghi-dinh-123-2020-nd-cp-ngay-19-10-2020-cua-chinh-phu-quy-dinh-ve-hoa-don-chung-tu-394682-d1.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2025-05-12T10:00:00Z</dcterms:created>
  <dcterms:modified xsi:type="dcterms:W3CDTF">2025-05-12T10:08:00Z</dcterms:modified>
</cp:coreProperties>
</file>