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63" w:rsidRPr="00147263" w:rsidRDefault="00147263" w:rsidP="00147263">
      <w:pPr>
        <w:shd w:val="clear" w:color="auto" w:fill="FFFFFF"/>
        <w:spacing w:after="100" w:afterAutospacing="1" w:line="300" w:lineRule="atLeast"/>
        <w:jc w:val="center"/>
        <w:outlineLvl w:val="0"/>
        <w:rPr>
          <w:rFonts w:ascii="Times New Roman" w:eastAsia="Times New Roman" w:hAnsi="Times New Roman" w:cs="Times New Roman"/>
          <w:b/>
          <w:color w:val="212529"/>
          <w:spacing w:val="2"/>
          <w:kern w:val="36"/>
          <w:sz w:val="40"/>
          <w:szCs w:val="40"/>
        </w:rPr>
      </w:pPr>
      <w:r w:rsidRPr="00147263">
        <w:rPr>
          <w:rFonts w:ascii="Times New Roman" w:eastAsia="Times New Roman" w:hAnsi="Times New Roman" w:cs="Times New Roman"/>
          <w:b/>
          <w:color w:val="212529"/>
          <w:spacing w:val="2"/>
          <w:kern w:val="36"/>
          <w:sz w:val="40"/>
          <w:szCs w:val="40"/>
        </w:rPr>
        <w:t>Quy định cụ thể về kỳ kế toán 2024</w:t>
      </w:r>
    </w:p>
    <w:p w:rsidR="00147263" w:rsidRPr="00147263" w:rsidRDefault="00147263" w:rsidP="00147263">
      <w:pPr>
        <w:pStyle w:val="Heading2"/>
        <w:shd w:val="clear" w:color="auto" w:fill="FFFFFF"/>
        <w:spacing w:before="0" w:line="300" w:lineRule="atLeast"/>
        <w:jc w:val="both"/>
        <w:rPr>
          <w:rFonts w:ascii="Times New Roman" w:hAnsi="Times New Roman" w:cs="Times New Roman"/>
          <w:b w:val="0"/>
          <w:bCs w:val="0"/>
          <w:color w:val="212529"/>
          <w:spacing w:val="2"/>
        </w:rPr>
      </w:pPr>
      <w:r w:rsidRPr="00147263">
        <w:rPr>
          <w:rStyle w:val="Strong"/>
          <w:rFonts w:ascii="Times New Roman" w:hAnsi="Times New Roman" w:cs="Times New Roman"/>
          <w:b/>
          <w:bCs/>
          <w:color w:val="212529"/>
          <w:spacing w:val="2"/>
        </w:rPr>
        <w:t>1. Kỳ kế toán là gì?</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Căn cứ khoản 14 Điều 3 </w:t>
      </w:r>
      <w:hyperlink r:id="rId5" w:tgtFrame="_blank" w:history="1">
        <w:r w:rsidRPr="00147263">
          <w:rPr>
            <w:rStyle w:val="Hyperlink"/>
            <w:color w:val="00B1E1"/>
            <w:spacing w:val="2"/>
            <w:sz w:val="26"/>
            <w:szCs w:val="26"/>
          </w:rPr>
          <w:t>Luật Kế toán 2015</w:t>
        </w:r>
      </w:hyperlink>
      <w:r w:rsidRPr="00147263">
        <w:rPr>
          <w:color w:val="212529"/>
          <w:spacing w:val="2"/>
          <w:sz w:val="26"/>
          <w:szCs w:val="26"/>
        </w:rPr>
        <w:t>, kỳ kế toán là khoảng thời gian xác định từ thời điểm đơn vị kế toán bắt đầu ghi sổ kế toán đến thời điểm kết thúc việc ghi sổ kế toán, khóa sổ kế toán để lập báo cáo tài chính.</w:t>
      </w:r>
    </w:p>
    <w:p w:rsidR="00147263" w:rsidRPr="00147263" w:rsidRDefault="00147263" w:rsidP="00147263">
      <w:pPr>
        <w:pStyle w:val="Heading2"/>
        <w:shd w:val="clear" w:color="auto" w:fill="FFFFFF"/>
        <w:spacing w:before="0" w:line="300" w:lineRule="atLeast"/>
        <w:jc w:val="both"/>
        <w:rPr>
          <w:rFonts w:ascii="Times New Roman" w:hAnsi="Times New Roman" w:cs="Times New Roman"/>
          <w:b w:val="0"/>
          <w:bCs w:val="0"/>
          <w:color w:val="212529"/>
          <w:spacing w:val="2"/>
        </w:rPr>
      </w:pPr>
      <w:r w:rsidRPr="00147263">
        <w:rPr>
          <w:rStyle w:val="Strong"/>
          <w:rFonts w:ascii="Times New Roman" w:hAnsi="Times New Roman" w:cs="Times New Roman"/>
          <w:b/>
          <w:bCs/>
          <w:color w:val="212529"/>
          <w:spacing w:val="2"/>
        </w:rPr>
        <w:t>2. Quy định cụ thể về kỳ kế toán</w:t>
      </w:r>
      <w:bookmarkStart w:id="0" w:name="_GoBack"/>
      <w:bookmarkEnd w:id="0"/>
      <w:r w:rsidRPr="00147263">
        <w:rPr>
          <w:rStyle w:val="Strong"/>
          <w:rFonts w:ascii="Times New Roman" w:hAnsi="Times New Roman" w:cs="Times New Roman"/>
          <w:b/>
          <w:bCs/>
          <w:color w:val="212529"/>
          <w:spacing w:val="2"/>
        </w:rPr>
        <w:t xml:space="preserve"> 2024</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Căn cứ Điều 12 </w:t>
      </w:r>
      <w:hyperlink r:id="rId6" w:tgtFrame="_blank" w:history="1">
        <w:r w:rsidRPr="00147263">
          <w:rPr>
            <w:rStyle w:val="Hyperlink"/>
            <w:color w:val="00B1E1"/>
            <w:spacing w:val="2"/>
            <w:sz w:val="26"/>
            <w:szCs w:val="26"/>
          </w:rPr>
          <w:t>Luật Kế toán 2015</w:t>
        </w:r>
      </w:hyperlink>
      <w:r w:rsidRPr="00147263">
        <w:rPr>
          <w:color w:val="212529"/>
          <w:spacing w:val="2"/>
          <w:sz w:val="26"/>
          <w:szCs w:val="26"/>
        </w:rPr>
        <w:t>, kỳ kế toán trong năm 2024 được quy định cụ thể như sau:</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(i) Kỳ kế toán gồm kỳ kế toán năm, kỳ kế toán quý, kỳ kế toán tháng và được quy định như sau:</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 Kỳ kế toán năm là 12 tháng, tính từ đầu ngày 01 tháng 01 đến hết ngày 31 tháng 12 năm dương lịch. Đơn vị kế toán có đặc thù về tổ chức, hoạt động được chọn kỳ kế toán năm là 12 tháng tròn theo năm dương lịch, bắt đầu từ đầu ngày 01 tháng đầu quý này đến hết ngày cuối cùng của tháng cuối quý trước năm sau và phải thông báo cho cơ quan tài chính, cơ quan thuế.</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 Kỳ kế toán quý là 03 tháng, tính từ đầu ngày 01 tháng đầu quý đến hết ngày cuối cùng của tháng cuối quý.</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 Kỳ kế toán tháng là 01 tháng, tính từ đầu ngày 01 đến hết ngày cuối cùng của tháng.</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(ii) Kỳ kế toán của đơn vị kế toán mới được thành lập được quy định như sau:</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 Kỳ kế toán đầu tiên của doanh nghiệp mới được thành lập tính từ đầu ngày được cấp Giấy chứng nhận đăng ký doanh nghiệp đến hết ngày cuối cùng của kỳ kế toán năm, kỳ kế toán quý, kỳ kế toán tháng theo quy định tại đoạn (i) nêu trên.</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 Kỳ kế toán đầu tiên của đơn vị kế toán khác tính từ đầu ngày quyết định thành lập đơn vị kế toán có hiệu lực đến hết ngày cuối cùng của kỳ kế toán năm, kỳ kế toán quý, kỳ kế toán tháng theo quy định tại đoạn (i) nêu trên.</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(iii) Đơn vị kế toán khi bị chia, hợp nhất, sáp nhập, chuyển đổi loại hình hoặc hình thức sở hữu, giải thể, chấm dứt hoạt động, phá sản thì kỳ kế toán cuối cùng tính từ đầu ngày kỳ kế toán năm, kỳ kế toán quý, kỳ kế toán tháng theo quy định tại đoạn (i) nếu trên đến hết ngày trước ngày quyết định chia, hợp nhất, sáp nhập, chuyển đổi loại hình hoặc hình thức sở hữu, giải thể, chấm dứt hoạt động, phá sản đơn vị kế toán có hiệu lực.</w:t>
      </w:r>
    </w:p>
    <w:p w:rsidR="00147263" w:rsidRPr="00147263" w:rsidRDefault="00147263" w:rsidP="00147263">
      <w:pPr>
        <w:pStyle w:val="NormalWeb"/>
        <w:shd w:val="clear" w:color="auto" w:fill="FFFFFF"/>
        <w:spacing w:before="0" w:beforeAutospacing="0" w:after="120" w:afterAutospacing="0"/>
        <w:jc w:val="both"/>
        <w:rPr>
          <w:color w:val="212529"/>
          <w:spacing w:val="2"/>
          <w:sz w:val="26"/>
          <w:szCs w:val="26"/>
        </w:rPr>
      </w:pPr>
      <w:r w:rsidRPr="00147263">
        <w:rPr>
          <w:color w:val="212529"/>
          <w:spacing w:val="2"/>
          <w:sz w:val="26"/>
          <w:szCs w:val="26"/>
        </w:rPr>
        <w:t>(iv) Trường hợp kỳ kế toán năm đầu tiên hoặc kỳ kế toán năm cuối cùng có thời gian ngắn hơn 90 ngày thì được phép cộng với kỳ kế toán năm tiếp theo hoặc cộng với kỳ kế toán năm trước đó để tính thành một kỳ kế toán năm; kỳ kế toán năm đầu tiên hoặc kỳ kế toán năm cuối cùng phải ngắn hơn 15 tháng.</w:t>
      </w:r>
    </w:p>
    <w:p w:rsidR="00BD64EC" w:rsidRPr="00147263" w:rsidRDefault="00BD64EC">
      <w:pPr>
        <w:rPr>
          <w:rFonts w:ascii="Times New Roman" w:hAnsi="Times New Roman" w:cs="Times New Roman"/>
          <w:sz w:val="26"/>
          <w:szCs w:val="26"/>
        </w:rPr>
      </w:pPr>
    </w:p>
    <w:sectPr w:rsidR="00BD64EC" w:rsidRPr="00147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63"/>
    <w:rsid w:val="00147263"/>
    <w:rsid w:val="00BD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72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472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2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4726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47263"/>
    <w:rPr>
      <w:b/>
      <w:bCs/>
    </w:rPr>
  </w:style>
  <w:style w:type="paragraph" w:styleId="NormalWeb">
    <w:name w:val="Normal (Web)"/>
    <w:basedOn w:val="Normal"/>
    <w:uiPriority w:val="99"/>
    <w:semiHidden/>
    <w:unhideWhenUsed/>
    <w:rsid w:val="001472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72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72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472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2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4726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47263"/>
    <w:rPr>
      <w:b/>
      <w:bCs/>
    </w:rPr>
  </w:style>
  <w:style w:type="paragraph" w:styleId="NormalWeb">
    <w:name w:val="Normal (Web)"/>
    <w:basedOn w:val="Normal"/>
    <w:uiPriority w:val="99"/>
    <w:semiHidden/>
    <w:unhideWhenUsed/>
    <w:rsid w:val="001472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7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618910">
      <w:bodyDiv w:val="1"/>
      <w:marLeft w:val="0"/>
      <w:marRight w:val="0"/>
      <w:marTop w:val="0"/>
      <w:marBottom w:val="0"/>
      <w:divBdr>
        <w:top w:val="none" w:sz="0" w:space="0" w:color="auto"/>
        <w:left w:val="none" w:sz="0" w:space="0" w:color="auto"/>
        <w:bottom w:val="none" w:sz="0" w:space="0" w:color="auto"/>
        <w:right w:val="none" w:sz="0" w:space="0" w:color="auto"/>
      </w:divBdr>
    </w:div>
    <w:div w:id="19326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Ke-toan-Kiem-toan/Luat-ke-toan-2015-298369.aspx?anchor=dieu_12" TargetMode="External"/><Relationship Id="rId5" Type="http://schemas.openxmlformats.org/officeDocument/2006/relationships/hyperlink" Target="https://thuvienphapluat.vn/van-ban/Ke-toan-Kiem-toan/Luat-ke-toan-2015-298369.aspx?anchor=dieu_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2024-05-07T02:28:00Z</dcterms:created>
  <dcterms:modified xsi:type="dcterms:W3CDTF">2024-05-07T02:30:00Z</dcterms:modified>
</cp:coreProperties>
</file>