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646C" w:rsidRPr="00034F08" w:rsidRDefault="004F646C" w:rsidP="00034F08">
      <w:pPr>
        <w:shd w:val="clear" w:color="auto" w:fill="FFFFFF"/>
        <w:spacing w:after="100" w:afterAutospacing="1" w:line="300" w:lineRule="atLeast"/>
        <w:jc w:val="center"/>
        <w:outlineLvl w:val="0"/>
        <w:rPr>
          <w:rFonts w:ascii="Open Sans" w:eastAsia="Times New Roman" w:hAnsi="Open Sans" w:cs="Open Sans"/>
          <w:b/>
          <w:bCs/>
          <w:color w:val="212529"/>
          <w:spacing w:val="2"/>
          <w:kern w:val="36"/>
          <w:sz w:val="33"/>
          <w:szCs w:val="33"/>
          <w14:ligatures w14:val="none"/>
        </w:rPr>
      </w:pPr>
      <w:r w:rsidRPr="00034F08">
        <w:rPr>
          <w:rFonts w:ascii="Open Sans" w:eastAsia="Times New Roman" w:hAnsi="Open Sans" w:cs="Open Sans"/>
          <w:b/>
          <w:bCs/>
          <w:color w:val="212529"/>
          <w:spacing w:val="2"/>
          <w:kern w:val="36"/>
          <w:sz w:val="33"/>
          <w:szCs w:val="33"/>
          <w14:ligatures w14:val="none"/>
        </w:rPr>
        <w:t>Các khoản thu nhập từ tiền lương, tiền công phải chịu thuế TNCN 2024</w:t>
      </w:r>
    </w:p>
    <w:p w:rsidR="004F646C" w:rsidRPr="004F646C" w:rsidRDefault="004F646C" w:rsidP="004F646C">
      <w:pPr>
        <w:shd w:val="clear" w:color="auto" w:fill="FFFFFF"/>
        <w:spacing w:after="100" w:afterAutospacing="1" w:line="300" w:lineRule="atLeast"/>
        <w:jc w:val="both"/>
        <w:outlineLvl w:val="1"/>
        <w:rPr>
          <w:rFonts w:ascii="Open Sans" w:eastAsia="Times New Roman" w:hAnsi="Open Sans" w:cs="Open Sans"/>
          <w:color w:val="212529"/>
          <w:spacing w:val="2"/>
          <w:kern w:val="0"/>
          <w:sz w:val="36"/>
          <w:szCs w:val="36"/>
          <w14:ligatures w14:val="none"/>
        </w:rPr>
      </w:pPr>
      <w:r w:rsidRPr="004F646C">
        <w:rPr>
          <w:rFonts w:ascii="Arial" w:eastAsia="Times New Roman" w:hAnsi="Arial" w:cs="Arial"/>
          <w:b/>
          <w:bCs/>
          <w:color w:val="212529"/>
          <w:spacing w:val="2"/>
          <w:kern w:val="0"/>
          <w:sz w:val="21"/>
          <w:szCs w:val="21"/>
          <w14:ligatures w14:val="none"/>
        </w:rPr>
        <w:t>1. Các khoản thu nhập từ tiền lương, tiền công phải chịu thuế TNCN 2024</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Căn cứ khoản 2 Điều 3</w:t>
      </w:r>
      <w:r w:rsidR="00034F08">
        <w:rPr>
          <w:rFonts w:ascii="Arial" w:eastAsia="Times New Roman" w:hAnsi="Arial" w:cs="Arial"/>
          <w:color w:val="212529"/>
          <w:spacing w:val="2"/>
          <w:kern w:val="0"/>
          <w:sz w:val="21"/>
          <w:szCs w:val="21"/>
          <w:lang w:val="vi-VN"/>
          <w14:ligatures w14:val="none"/>
        </w:rPr>
        <w:t>-</w:t>
      </w:r>
      <w:r w:rsidR="00034F08">
        <w:rPr>
          <w:rFonts w:ascii="Arial" w:eastAsia="Times New Roman" w:hAnsi="Arial" w:cs="Arial"/>
          <w:color w:val="212529"/>
          <w:spacing w:val="2"/>
          <w:kern w:val="0"/>
          <w:sz w:val="21"/>
          <w:szCs w:val="21"/>
          <w14:ligatures w14:val="none"/>
        </w:rPr>
        <w:t xml:space="preserve"> Luật</w:t>
      </w:r>
      <w:r w:rsidR="00034F08">
        <w:rPr>
          <w:rFonts w:ascii="Arial" w:eastAsia="Times New Roman" w:hAnsi="Arial" w:cs="Arial"/>
          <w:color w:val="212529"/>
          <w:spacing w:val="2"/>
          <w:kern w:val="0"/>
          <w:sz w:val="21"/>
          <w:szCs w:val="21"/>
          <w:lang w:val="vi-VN"/>
          <w14:ligatures w14:val="none"/>
        </w:rPr>
        <w:t xml:space="preserve"> thuế thu nhập cá nhân </w:t>
      </w:r>
      <w:r w:rsidRPr="004F646C">
        <w:rPr>
          <w:rFonts w:ascii="Arial" w:eastAsia="Times New Roman" w:hAnsi="Arial" w:cs="Arial"/>
          <w:color w:val="212529"/>
          <w:spacing w:val="2"/>
          <w:kern w:val="0"/>
          <w:sz w:val="21"/>
          <w:szCs w:val="21"/>
          <w14:ligatures w14:val="none"/>
        </w:rPr>
        <w:t>và khoản 2 Điều 3</w:t>
      </w:r>
      <w:r w:rsidR="00034F08">
        <w:rPr>
          <w:rFonts w:ascii="Arial" w:eastAsia="Times New Roman" w:hAnsi="Arial" w:cs="Arial"/>
          <w:color w:val="212529"/>
          <w:spacing w:val="2"/>
          <w:kern w:val="0"/>
          <w:sz w:val="21"/>
          <w:szCs w:val="21"/>
          <w:lang w:val="vi-VN"/>
          <w14:ligatures w14:val="none"/>
        </w:rPr>
        <w:t>- Nghị định 65/2013/NĐ-CP (</w:t>
      </w:r>
      <w:r w:rsidRPr="004F646C">
        <w:rPr>
          <w:rFonts w:ascii="Arial" w:eastAsia="Times New Roman" w:hAnsi="Arial" w:cs="Arial"/>
          <w:color w:val="212529"/>
          <w:spacing w:val="2"/>
          <w:kern w:val="0"/>
          <w:sz w:val="21"/>
          <w:szCs w:val="21"/>
          <w14:ligatures w14:val="none"/>
        </w:rPr>
        <w:t>được sửa đổi bởi khoản 2, khoản 3 Điều 2</w:t>
      </w:r>
      <w:r w:rsidR="00034F08" w:rsidRPr="00034F08">
        <w:rPr>
          <w:rFonts w:ascii="Arial" w:eastAsia="Times New Roman" w:hAnsi="Arial" w:cs="Arial"/>
          <w:color w:val="212529"/>
          <w:spacing w:val="2"/>
          <w:kern w:val="0"/>
          <w:sz w:val="21"/>
          <w:szCs w:val="21"/>
          <w:lang w:val="vi-VN"/>
          <w14:ligatures w14:val="none"/>
        </w:rPr>
        <w:t xml:space="preserve"> </w:t>
      </w:r>
      <w:r w:rsidR="00034F08">
        <w:rPr>
          <w:rFonts w:ascii="Arial" w:eastAsia="Times New Roman" w:hAnsi="Arial" w:cs="Arial"/>
          <w:color w:val="212529"/>
          <w:spacing w:val="2"/>
          <w:kern w:val="0"/>
          <w:sz w:val="21"/>
          <w:szCs w:val="21"/>
          <w:lang w:val="vi-VN"/>
          <w14:ligatures w14:val="none"/>
        </w:rPr>
        <w:t>Nghị định 65/2013/NĐ-CP</w:t>
      </w:r>
      <w:r w:rsidR="00034F08">
        <w:rPr>
          <w:rFonts w:ascii="Arial" w:eastAsia="Times New Roman" w:hAnsi="Arial" w:cs="Arial"/>
          <w:color w:val="212529"/>
          <w:spacing w:val="2"/>
          <w:kern w:val="0"/>
          <w:sz w:val="21"/>
          <w:szCs w:val="21"/>
          <w:lang w:val="vi-VN"/>
          <w14:ligatures w14:val="none"/>
        </w:rPr>
        <w:t>)</w:t>
      </w:r>
      <w:r w:rsidR="00034F08" w:rsidRPr="004F646C">
        <w:rPr>
          <w:rFonts w:ascii="Arial" w:eastAsia="Times New Roman" w:hAnsi="Arial" w:cs="Arial"/>
          <w:color w:val="212529"/>
          <w:spacing w:val="2"/>
          <w:kern w:val="0"/>
          <w:sz w:val="21"/>
          <w:szCs w:val="21"/>
          <w14:ligatures w14:val="none"/>
        </w:rPr>
        <w:t xml:space="preserve"> </w:t>
      </w:r>
      <w:r w:rsidRPr="004F646C">
        <w:rPr>
          <w:rFonts w:ascii="Arial" w:eastAsia="Times New Roman" w:hAnsi="Arial" w:cs="Arial"/>
          <w:color w:val="212529"/>
          <w:spacing w:val="2"/>
          <w:kern w:val="0"/>
          <w:sz w:val="21"/>
          <w:szCs w:val="21"/>
          <w14:ligatures w14:val="none"/>
        </w:rPr>
        <w:t>thì thu nhập từ tiền lương, tiền công mà người lao động nhận được từ người sử dụng lao động phải chịu thuế thu nhập cá nhân (TNCN), bao gồm:</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(i) Tiền lương, tiền công và các khoản có tính chất tiền lương, tiền công nhận được dưới các hình thức bằng tiền hoặc không bằng tiền.</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(ii) Các khoản phụ cấp, trợ cấp, trừ các khoản phụ cấp, trợ cấp sau:</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 Trợ cấp, phụ cấp ưu đãi hàng tháng và trợ cấp một lần theo quy định của pháp luật về ưu đãi người có công;</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 Trợ cấp hàng tháng, trợ cấp một lần đối với các đối tượng tham gia kháng chiến, bảo vệ tổ quốc, làm nhiệm vụ quốc tế, thanh niên xung phong đã hoàn thành nhiệm vụ;</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 Phụ cấp quốc phòng, an ninh; các khoản trợ cấp đối với lực lượng vũ trang;</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 Phụ cấp độc hại, nguy hiểm đối với những ngành, nghề hoặc công việc ở nơi làm việc có yếu tố độc hại, nguy hiểm;</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 Phụ cấp thu hút, phụ cấp khu vực;</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 Trợ cấp khó khăn đột xuất, trợ cấp tai nạn lao động, bệnh nghề nghiệp, trợ cấp một lần khi sinh con hoặc nhận nuôi con nuôi, trợ cấp do suy giảm khả năng lao động, trợ cấp hưu trí một lần, tiền tuất hàng tháng, trợ cấp thôi việc, trợ cấp mất việc làm, trợ cấp thất nghiệp và các khoản trợ cấp khác theo quy định của</w:t>
      </w:r>
      <w:r w:rsidR="00034F08">
        <w:rPr>
          <w:rFonts w:ascii="Arial" w:eastAsia="Times New Roman" w:hAnsi="Arial" w:cs="Arial"/>
          <w:color w:val="212529"/>
          <w:spacing w:val="2"/>
          <w:kern w:val="0"/>
          <w:sz w:val="21"/>
          <w:szCs w:val="21"/>
          <w:lang w:val="vi-VN"/>
          <w14:ligatures w14:val="none"/>
        </w:rPr>
        <w:t xml:space="preserve"> Bộ luật lao động</w:t>
      </w:r>
      <w:r w:rsidR="00034F08" w:rsidRPr="004F646C">
        <w:rPr>
          <w:rFonts w:ascii="Arial" w:eastAsia="Times New Roman" w:hAnsi="Arial" w:cs="Arial"/>
          <w:color w:val="212529"/>
          <w:spacing w:val="2"/>
          <w:kern w:val="0"/>
          <w:sz w:val="21"/>
          <w:szCs w:val="21"/>
          <w14:ligatures w14:val="none"/>
        </w:rPr>
        <w:t xml:space="preserve"> </w:t>
      </w:r>
      <w:r w:rsidRPr="004F646C">
        <w:rPr>
          <w:rFonts w:ascii="Arial" w:eastAsia="Times New Roman" w:hAnsi="Arial" w:cs="Arial"/>
          <w:color w:val="212529"/>
          <w:spacing w:val="2"/>
          <w:kern w:val="0"/>
          <w:sz w:val="21"/>
          <w:szCs w:val="21"/>
          <w14:ligatures w14:val="none"/>
        </w:rPr>
        <w:t>v</w:t>
      </w:r>
      <w:r w:rsidR="00034F08">
        <w:rPr>
          <w:rFonts w:ascii="Arial" w:eastAsia="Times New Roman" w:hAnsi="Arial" w:cs="Arial"/>
          <w:color w:val="212529"/>
          <w:spacing w:val="2"/>
          <w:kern w:val="0"/>
          <w:sz w:val="21"/>
          <w:szCs w:val="21"/>
          <w:lang w:val="vi-VN"/>
          <w14:ligatures w14:val="none"/>
        </w:rPr>
        <w:t>à Luật Bảo hiểm xã hội</w:t>
      </w:r>
      <w:r w:rsidR="00034F08" w:rsidRPr="004F646C">
        <w:rPr>
          <w:rFonts w:ascii="Arial" w:eastAsia="Times New Roman" w:hAnsi="Arial" w:cs="Arial"/>
          <w:color w:val="212529"/>
          <w:spacing w:val="2"/>
          <w:kern w:val="0"/>
          <w:sz w:val="21"/>
          <w:szCs w:val="21"/>
          <w14:ligatures w14:val="none"/>
        </w:rPr>
        <w:t xml:space="preserve"> </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 Trợ cấp đối với các đối tượng được bảo trợ xã hội theo quy định của pháp luật;</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 Phụ cấp phục vụ đối với lãnh đạo cấp cao;</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 Trợ cấp một lần đối với cá nhân khi chuyển công tác đến vùng có điều kiện kinh tế xã hội đặc biệt khó khăn, hỗ trợ một lần đối với cán bộ, công chức làm công tác về chủ quyền biển đảo theo quy định của pháp luật. Trợ cấp chuyển vùng một lần đối với người nước ngoài đến cư trú tại Việt Nam, người Việt Nam đi làm việc ở nước ngoài, người Việt Nam cư trú dài hạn ở nước ngoài về Việt Nam làm việc;</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lastRenderedPageBreak/>
        <w:t>- Phụ cấp đối với nhân viên y tế thôn, bản;</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 Phụ cấp đặc thù ngành nghề.</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Các khoản phụ cấp, trợ cấp không tính vào thu nhập chịu thuế quy định tại Mục (ii) này phải được cơ quan nhà nước có thẩm quyền quy định.</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(iii) Tiền thù lao nhận được dưới các hình thức như: Tiền hoa hồng môi giới, tiền tham gia đề tài, dự án, tiền nhuận bút và các khoản tiền hoa hồng, thù lao khác;</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(iv) Tiền nhận được từ tham gia hiệp hội kinh doanh, hội đồng quản trị, ban kiểm soát, hội đồng quản lý, các hiệp hội, hội nghề nghiệp, và các tổ chức khác;</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(v) Các khoản lợi ích bằng tiền hoặc không bằng tiền ngoài tiền lương, tiền công do người sử dụng lao động trả mà người nộp thuế được hưởng dưới mọi hình thức:</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 Tiền nhà ở, điện, nước và các dịch vụ kèm theo (nếu có), không bao gồm khoản lợi ích về nhà ở, điện, nước và các dịch vụ kèm theo (nếu có) đối với nhà ở do người sử dụng lao động xây dựng để cung cấp cho người lao động làm việc tại khu công nghiệp hoặc nhà ở do người sử dụng lao động xây dựng tại khu kinh tế, địa bàn có điều kiện kinh tế xã hội khó khăn hoặc địa bàn có điều kiện kinh tế xã hội đặc biệt khó khăn cung cấp cho người lao động.</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 Khoản tiền do người sử dụng lao động mua bảo hiểm nhân thọ, bảo hiểm không bắt buộc khác có tích lũy về phí bảo hiểm, mua bảo hiểm hưu trí tự nguyện hoặc đóng góp Quỹ hưu trí tự nguyện cho người lao động.</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 Phí hội viên và các khoản chi dịch vụ khác phục vụ cho cá nhân theo yêu cầu, như: Chăm sóc sức khỏe, vui chơi, thể thao, giải trí, thẩm mỹ.</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 Các khoản lợi ích khác theo quy định của pháp luật.</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(vi) Các khoản thưởng bằng tiền hoặc không bằng tiền dưới mọi hình thức, kể cả thưởng bằng chứng khoán, trừ các khoản tiền thưởng sau đây:</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 Tiền thưởng kèm theo các danh hiệu được Nhà nước phong tặng, bao gồm cả tiền thưởng kèm theo các danh hiệu thi đua, các hình thức khen thưởng theo quy định của pháp luật về thi đua khen thưởng;</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 Tiền thưởng kèm theo giải thưởng quốc gia, giải thưởng quốc tế được Nhà nước Việt Nam thừa nhận;</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 Tiền thưởng về cải tiến kỹ thuật, sáng chế, phát minh được cơ quan nhà nước có thẩm quyền công nhận;</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lastRenderedPageBreak/>
        <w:t>- Tiền thưởng về việc phát hiện, khai báo hành vi vi phạm pháp luật với cơ quan nhà nước có thẩm quyền.</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(vii) Không tính vào thu nhập chịu thuế TNCN đối với các khoản sau:</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 Khoản hỗ trợ của người sử dụng lao động cho việc khám chữa bệnh hiểm nghèo cho bản thân người lao động và thân nhân (bố, mẹ, vợ/ chồng, con) của người lao động;</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 Khoản tiền nhận được theo chế độ liên quan đến sử dụng phương tiện đi lại trong cơ quan nhà nước, đơn vị sự nghiệp công lập, tổ chức đảng, đoàn thể;</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 Khoản tiền nhận được theo chế độ nhà ở công vụ theo quy định của pháp luật;</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 Các khoản nhận được ngoài tiền lương, tiền công do tham gia, phục vụ hoạt động Đảng, đoàn, Quốc hội hoặc xây dựng văn bản quy phạm pháp luật của Nhà nước;</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 Khoản tiền ăn giữa ca do người sử dụng lao động chi cho người lao động không vượt quá mức quy định của Bộ Lao động - Thương binh và Xã hội.</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 Khoản tiền mua vé máy bay khứ hồi do người sử dụng lao động trả hộ (hoặc thanh toán) cho người lao động là người nước ngoài, người lao động là người Việt Nam làm việc ở nước ngoài về phép mỗi năm một lần;</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 Khoản tiền học phí cho con của người lao động nước ngoài học tại Việt Nam, con của người lao động Việt Nam đang làm việc ở nước ngoài học tại nước ngoài theo bậc học từ mầm non đến trung học phổ thông do người sử dụng lao động trả hộ.</w:t>
      </w:r>
    </w:p>
    <w:p w:rsidR="004F646C" w:rsidRPr="004F646C" w:rsidRDefault="004F646C" w:rsidP="004F646C">
      <w:pPr>
        <w:shd w:val="clear" w:color="auto" w:fill="FFFFFF"/>
        <w:spacing w:after="100" w:afterAutospacing="1" w:line="300" w:lineRule="atLeast"/>
        <w:jc w:val="both"/>
        <w:outlineLvl w:val="1"/>
        <w:rPr>
          <w:rFonts w:ascii="Open Sans" w:eastAsia="Times New Roman" w:hAnsi="Open Sans" w:cs="Open Sans"/>
          <w:color w:val="212529"/>
          <w:spacing w:val="2"/>
          <w:kern w:val="0"/>
          <w:sz w:val="36"/>
          <w:szCs w:val="36"/>
          <w14:ligatures w14:val="none"/>
        </w:rPr>
      </w:pPr>
      <w:r w:rsidRPr="004F646C">
        <w:rPr>
          <w:rFonts w:ascii="Arial" w:eastAsia="Times New Roman" w:hAnsi="Arial" w:cs="Arial"/>
          <w:b/>
          <w:bCs/>
          <w:color w:val="212529"/>
          <w:spacing w:val="2"/>
          <w:kern w:val="0"/>
          <w:sz w:val="21"/>
          <w:szCs w:val="21"/>
          <w14:ligatures w14:val="none"/>
        </w:rPr>
        <w:t>2. Thời điểm xác định thu nhập chịu thuế TNCN 2024 từ tiền lương, tiền công</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Theo quy định tại khoản 2 Điều 11  </w:t>
      </w:r>
      <w:r w:rsidR="00034F08">
        <w:rPr>
          <w:rFonts w:ascii="Arial" w:eastAsia="Times New Roman" w:hAnsi="Arial" w:cs="Arial"/>
          <w:color w:val="212529"/>
          <w:spacing w:val="2"/>
          <w:kern w:val="0"/>
          <w:sz w:val="21"/>
          <w:szCs w:val="21"/>
          <w14:ligatures w14:val="none"/>
        </w:rPr>
        <w:t>Luật</w:t>
      </w:r>
      <w:r w:rsidR="00034F08">
        <w:rPr>
          <w:rFonts w:ascii="Arial" w:eastAsia="Times New Roman" w:hAnsi="Arial" w:cs="Arial"/>
          <w:color w:val="212529"/>
          <w:spacing w:val="2"/>
          <w:kern w:val="0"/>
          <w:sz w:val="21"/>
          <w:szCs w:val="21"/>
          <w:lang w:val="vi-VN"/>
          <w14:ligatures w14:val="none"/>
        </w:rPr>
        <w:t xml:space="preserve"> thuế thu nhập cá nhân 2007 </w:t>
      </w:r>
      <w:r w:rsidRPr="004F646C">
        <w:rPr>
          <w:rFonts w:ascii="Arial" w:eastAsia="Times New Roman" w:hAnsi="Arial" w:cs="Arial"/>
          <w:color w:val="212529"/>
          <w:spacing w:val="2"/>
          <w:kern w:val="0"/>
          <w:sz w:val="21"/>
          <w:szCs w:val="21"/>
          <w14:ligatures w14:val="none"/>
        </w:rPr>
        <w:t>thì thời điểm xác định thu nhập chịu thuế từ tiền lương, tiền công là thời điểm tổ chức, cá nhân trả thu nhập cho đối tượng nộp thuế hoặc thời điểm đối tượng nộp thuế nhận được thu nhập.</w:t>
      </w:r>
    </w:p>
    <w:p w:rsidR="004F646C" w:rsidRPr="004F646C" w:rsidRDefault="004F646C" w:rsidP="004F646C">
      <w:pPr>
        <w:shd w:val="clear" w:color="auto" w:fill="FFFFFF"/>
        <w:spacing w:after="100" w:afterAutospacing="1" w:line="300" w:lineRule="atLeast"/>
        <w:jc w:val="both"/>
        <w:outlineLvl w:val="1"/>
        <w:rPr>
          <w:rFonts w:ascii="Open Sans" w:eastAsia="Times New Roman" w:hAnsi="Open Sans" w:cs="Open Sans"/>
          <w:color w:val="212529"/>
          <w:spacing w:val="2"/>
          <w:kern w:val="0"/>
          <w:sz w:val="36"/>
          <w:szCs w:val="36"/>
          <w14:ligatures w14:val="none"/>
        </w:rPr>
      </w:pPr>
      <w:r w:rsidRPr="004F646C">
        <w:rPr>
          <w:rFonts w:ascii="Arial" w:eastAsia="Times New Roman" w:hAnsi="Arial" w:cs="Arial"/>
          <w:b/>
          <w:bCs/>
          <w:color w:val="212529"/>
          <w:spacing w:val="2"/>
          <w:kern w:val="0"/>
          <w:sz w:val="21"/>
          <w:szCs w:val="21"/>
          <w14:ligatures w14:val="none"/>
        </w:rPr>
        <w:t>3. Mức giảm trừ gia cảnh</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Theo quy định tại Điều 1 </w:t>
      </w:r>
      <w:r w:rsidR="00034F08">
        <w:rPr>
          <w:rFonts w:ascii="Arial" w:eastAsia="Times New Roman" w:hAnsi="Arial" w:cs="Arial"/>
          <w:color w:val="212529"/>
          <w:spacing w:val="2"/>
          <w:kern w:val="0"/>
          <w:sz w:val="21"/>
          <w:szCs w:val="21"/>
          <w14:ligatures w14:val="none"/>
        </w:rPr>
        <w:t xml:space="preserve"> Nghị</w:t>
      </w:r>
      <w:r w:rsidR="00034F08">
        <w:rPr>
          <w:rFonts w:ascii="Arial" w:eastAsia="Times New Roman" w:hAnsi="Arial" w:cs="Arial"/>
          <w:color w:val="212529"/>
          <w:spacing w:val="2"/>
          <w:kern w:val="0"/>
          <w:sz w:val="21"/>
          <w:szCs w:val="21"/>
          <w:lang w:val="vi-VN"/>
          <w14:ligatures w14:val="none"/>
        </w:rPr>
        <w:t xml:space="preserve"> quyết 954/2020/UBTVQH14 </w:t>
      </w:r>
      <w:r w:rsidRPr="004F646C">
        <w:rPr>
          <w:rFonts w:ascii="Arial" w:eastAsia="Times New Roman" w:hAnsi="Arial" w:cs="Arial"/>
          <w:color w:val="212529"/>
          <w:spacing w:val="2"/>
          <w:kern w:val="0"/>
          <w:sz w:val="21"/>
          <w:szCs w:val="21"/>
          <w14:ligatures w14:val="none"/>
        </w:rPr>
        <w:t>thì mức giảm trừ gia cảnh như sau:</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 Mức giảm trừ đối với đối tượng nộp thuế là 11 triệu đồng/tháng (132 triệu đồng/năm);</w:t>
      </w:r>
    </w:p>
    <w:p w:rsidR="004F646C" w:rsidRPr="004F646C" w:rsidRDefault="004F646C" w:rsidP="004F646C">
      <w:pPr>
        <w:shd w:val="clear" w:color="auto" w:fill="FFFFFF"/>
        <w:spacing w:after="120" w:line="375" w:lineRule="atLeast"/>
        <w:jc w:val="both"/>
        <w:rPr>
          <w:rFonts w:ascii="Arial" w:eastAsia="Times New Roman" w:hAnsi="Arial" w:cs="Arial"/>
          <w:color w:val="212529"/>
          <w:spacing w:val="2"/>
          <w:kern w:val="0"/>
          <w:sz w:val="21"/>
          <w:szCs w:val="21"/>
          <w14:ligatures w14:val="none"/>
        </w:rPr>
      </w:pPr>
      <w:r w:rsidRPr="004F646C">
        <w:rPr>
          <w:rFonts w:ascii="Arial" w:eastAsia="Times New Roman" w:hAnsi="Arial" w:cs="Arial"/>
          <w:color w:val="212529"/>
          <w:spacing w:val="2"/>
          <w:kern w:val="0"/>
          <w:sz w:val="21"/>
          <w:szCs w:val="21"/>
          <w14:ligatures w14:val="none"/>
        </w:rPr>
        <w:t>- Mức giảm trừ đối với mỗi người phụ thuộc là 4,4 triệu đồng/tháng.</w:t>
      </w:r>
    </w:p>
    <w:p w:rsidR="004F646C" w:rsidRDefault="004F646C"/>
    <w:sectPr w:rsidR="004F64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531A4"/>
    <w:multiLevelType w:val="multilevel"/>
    <w:tmpl w:val="2A12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9393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6C"/>
    <w:rsid w:val="00034F08"/>
    <w:rsid w:val="002607ED"/>
    <w:rsid w:val="004F646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16AC2B7F"/>
  <w15:chartTrackingRefBased/>
  <w15:docId w15:val="{09711940-26D3-1344-88D0-307640893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F646C"/>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4F646C"/>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46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4F646C"/>
    <w:rPr>
      <w:rFonts w:ascii="Times New Roman" w:eastAsia="Times New Roman" w:hAnsi="Times New Roman" w:cs="Times New Roman"/>
      <w:b/>
      <w:bCs/>
      <w:kern w:val="0"/>
      <w:sz w:val="36"/>
      <w:szCs w:val="36"/>
      <w14:ligatures w14:val="none"/>
    </w:rPr>
  </w:style>
  <w:style w:type="character" w:customStyle="1" w:styleId="float-right">
    <w:name w:val="float-right"/>
    <w:basedOn w:val="DefaultParagraphFont"/>
    <w:rsid w:val="004F646C"/>
  </w:style>
  <w:style w:type="paragraph" w:customStyle="1" w:styleId="pintro">
    <w:name w:val="pintro"/>
    <w:basedOn w:val="Normal"/>
    <w:rsid w:val="004F646C"/>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F646C"/>
    <w:rPr>
      <w:color w:val="0000FF"/>
      <w:u w:val="single"/>
    </w:rPr>
  </w:style>
  <w:style w:type="paragraph" w:customStyle="1" w:styleId="h2-li">
    <w:name w:val="h2-li"/>
    <w:basedOn w:val="Normal"/>
    <w:rsid w:val="004F646C"/>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4F646C"/>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F646C"/>
    <w:rPr>
      <w:b/>
      <w:bCs/>
    </w:rPr>
  </w:style>
  <w:style w:type="character" w:styleId="Emphasis">
    <w:name w:val="Emphasis"/>
    <w:basedOn w:val="DefaultParagraphFont"/>
    <w:uiPriority w:val="20"/>
    <w:qFormat/>
    <w:rsid w:val="004F64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19274">
      <w:bodyDiv w:val="1"/>
      <w:marLeft w:val="0"/>
      <w:marRight w:val="0"/>
      <w:marTop w:val="0"/>
      <w:marBottom w:val="0"/>
      <w:divBdr>
        <w:top w:val="none" w:sz="0" w:space="0" w:color="auto"/>
        <w:left w:val="none" w:sz="0" w:space="0" w:color="auto"/>
        <w:bottom w:val="none" w:sz="0" w:space="0" w:color="auto"/>
        <w:right w:val="none" w:sz="0" w:space="0" w:color="auto"/>
      </w:divBdr>
      <w:divsChild>
        <w:div w:id="1182009353">
          <w:marLeft w:val="-75"/>
          <w:marRight w:val="-75"/>
          <w:marTop w:val="0"/>
          <w:marBottom w:val="0"/>
          <w:divBdr>
            <w:top w:val="none" w:sz="0" w:space="0" w:color="auto"/>
            <w:left w:val="none" w:sz="0" w:space="0" w:color="auto"/>
            <w:bottom w:val="none" w:sz="0" w:space="0" w:color="auto"/>
            <w:right w:val="none" w:sz="0" w:space="0" w:color="auto"/>
          </w:divBdr>
          <w:divsChild>
            <w:div w:id="347561180">
              <w:marLeft w:val="0"/>
              <w:marRight w:val="0"/>
              <w:marTop w:val="0"/>
              <w:marBottom w:val="0"/>
              <w:divBdr>
                <w:top w:val="none" w:sz="0" w:space="0" w:color="auto"/>
                <w:left w:val="none" w:sz="0" w:space="0" w:color="auto"/>
                <w:bottom w:val="none" w:sz="0" w:space="0" w:color="auto"/>
                <w:right w:val="none" w:sz="0" w:space="0" w:color="auto"/>
              </w:divBdr>
            </w:div>
            <w:div w:id="2050761196">
              <w:marLeft w:val="0"/>
              <w:marRight w:val="0"/>
              <w:marTop w:val="0"/>
              <w:marBottom w:val="120"/>
              <w:divBdr>
                <w:top w:val="none" w:sz="0" w:space="0" w:color="auto"/>
                <w:left w:val="none" w:sz="0" w:space="0" w:color="auto"/>
                <w:bottom w:val="none" w:sz="0" w:space="0" w:color="auto"/>
                <w:right w:val="none" w:sz="0" w:space="0" w:color="auto"/>
              </w:divBdr>
            </w:div>
            <w:div w:id="1847014971">
              <w:marLeft w:val="0"/>
              <w:marRight w:val="0"/>
              <w:marTop w:val="100"/>
              <w:marBottom w:val="100"/>
              <w:divBdr>
                <w:top w:val="single" w:sz="6" w:space="0" w:color="DEE2E6"/>
                <w:left w:val="single" w:sz="6" w:space="0" w:color="DEE2E6"/>
                <w:bottom w:val="single" w:sz="6" w:space="0" w:color="DEE2E6"/>
                <w:right w:val="single" w:sz="6" w:space="0" w:color="DEE2E6"/>
              </w:divBdr>
              <w:divsChild>
                <w:div w:id="1987202499">
                  <w:marLeft w:val="0"/>
                  <w:marRight w:val="0"/>
                  <w:marTop w:val="0"/>
                  <w:marBottom w:val="0"/>
                  <w:divBdr>
                    <w:top w:val="none" w:sz="0" w:space="0" w:color="auto"/>
                    <w:left w:val="none" w:sz="0" w:space="0" w:color="auto"/>
                    <w:bottom w:val="single" w:sz="6" w:space="0" w:color="DEE2E6"/>
                    <w:right w:val="none" w:sz="0" w:space="0" w:color="auto"/>
                  </w:divBdr>
                </w:div>
              </w:divsChild>
            </w:div>
            <w:div w:id="310335306">
              <w:marLeft w:val="0"/>
              <w:marRight w:val="0"/>
              <w:marTop w:val="0"/>
              <w:marBottom w:val="0"/>
              <w:divBdr>
                <w:top w:val="none" w:sz="0" w:space="0" w:color="auto"/>
                <w:left w:val="none" w:sz="0" w:space="0" w:color="auto"/>
                <w:bottom w:val="none" w:sz="0" w:space="0" w:color="auto"/>
                <w:right w:val="none" w:sz="0" w:space="0" w:color="auto"/>
              </w:divBdr>
            </w:div>
          </w:divsChild>
        </w:div>
        <w:div w:id="1370908896">
          <w:marLeft w:val="0"/>
          <w:marRight w:val="0"/>
          <w:marTop w:val="150"/>
          <w:marBottom w:val="150"/>
          <w:divBdr>
            <w:top w:val="none" w:sz="0" w:space="0" w:color="auto"/>
            <w:left w:val="none" w:sz="0" w:space="0" w:color="auto"/>
            <w:bottom w:val="none" w:sz="0" w:space="0" w:color="auto"/>
            <w:right w:val="none" w:sz="0" w:space="0" w:color="auto"/>
          </w:divBdr>
          <w:divsChild>
            <w:div w:id="1221554961">
              <w:marLeft w:val="0"/>
              <w:marRight w:val="0"/>
              <w:marTop w:val="0"/>
              <w:marBottom w:val="0"/>
              <w:divBdr>
                <w:top w:val="none" w:sz="0" w:space="0" w:color="auto"/>
                <w:left w:val="none" w:sz="0" w:space="0" w:color="auto"/>
                <w:bottom w:val="none" w:sz="0" w:space="0" w:color="auto"/>
                <w:right w:val="none" w:sz="0" w:space="0" w:color="auto"/>
              </w:divBdr>
            </w:div>
            <w:div w:id="44910829">
              <w:marLeft w:val="0"/>
              <w:marRight w:val="0"/>
              <w:marTop w:val="0"/>
              <w:marBottom w:val="0"/>
              <w:divBdr>
                <w:top w:val="none" w:sz="0" w:space="0" w:color="auto"/>
                <w:left w:val="none" w:sz="0" w:space="0" w:color="auto"/>
                <w:bottom w:val="none" w:sz="0" w:space="0" w:color="auto"/>
                <w:right w:val="none" w:sz="0" w:space="0" w:color="auto"/>
              </w:divBdr>
            </w:div>
            <w:div w:id="116883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898</Words>
  <Characters>5121</Characters>
  <Application>Microsoft Office Word</Application>
  <DocSecurity>0</DocSecurity>
  <Lines>42</Lines>
  <Paragraphs>12</Paragraphs>
  <ScaleCrop>false</ScaleCrop>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2023-11-11T07:56:00Z</dcterms:created>
  <dcterms:modified xsi:type="dcterms:W3CDTF">2023-11-11T07:56:00Z</dcterms:modified>
</cp:coreProperties>
</file>