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F3306" w14:textId="731391E2" w:rsidR="0022061A" w:rsidRPr="005B6773" w:rsidRDefault="0022061A" w:rsidP="00BA5D0B">
      <w:pPr>
        <w:spacing w:line="360" w:lineRule="auto"/>
        <w:ind w:left="2880" w:firstLine="720"/>
        <w:rPr>
          <w:rFonts w:ascii="Times New Roman" w:hAnsi="Times New Roman" w:cs="Times New Roman"/>
          <w:b/>
          <w:bCs/>
          <w:lang w:val="vi-VN"/>
        </w:rPr>
      </w:pPr>
      <w:r w:rsidRPr="005B6773">
        <w:rPr>
          <w:rFonts w:ascii="Times New Roman" w:hAnsi="Times New Roman" w:cs="Times New Roman"/>
          <w:b/>
          <w:bCs/>
          <w:lang w:val="vi-VN"/>
        </w:rPr>
        <w:t>CHỨNG CHỈ QUỸ ĐẦU TƯ</w:t>
      </w:r>
    </w:p>
    <w:p w14:paraId="48273FC8" w14:textId="121DA9F5" w:rsidR="0022061A" w:rsidRPr="0022061A" w:rsidRDefault="0022061A" w:rsidP="00BA5D0B">
      <w:pPr>
        <w:spacing w:line="360" w:lineRule="auto"/>
        <w:jc w:val="both"/>
        <w:rPr>
          <w:rFonts w:ascii="Times New Roman" w:hAnsi="Times New Roman" w:cs="Times New Roman"/>
          <w:b/>
          <w:bCs/>
          <w:sz w:val="26"/>
          <w:szCs w:val="26"/>
          <w:lang w:val="vi-VN"/>
        </w:rPr>
      </w:pPr>
      <w:r w:rsidRPr="0022061A">
        <w:rPr>
          <w:rFonts w:ascii="Times New Roman" w:hAnsi="Times New Roman" w:cs="Times New Roman"/>
          <w:b/>
          <w:bCs/>
          <w:sz w:val="26"/>
          <w:szCs w:val="26"/>
          <w:lang w:val="vi-VN"/>
        </w:rPr>
        <w:t>1.</w:t>
      </w:r>
      <w:r w:rsidR="005B6773">
        <w:rPr>
          <w:rFonts w:ascii="Times New Roman" w:hAnsi="Times New Roman" w:cs="Times New Roman"/>
          <w:b/>
          <w:bCs/>
          <w:sz w:val="26"/>
          <w:szCs w:val="26"/>
          <w:lang w:val="vi-VN"/>
        </w:rPr>
        <w:t xml:space="preserve"> Khái niệm chứng chỉ quỹ đầu tư</w:t>
      </w:r>
      <w:r w:rsidRPr="0022061A">
        <w:rPr>
          <w:rFonts w:ascii="Times New Roman" w:hAnsi="Times New Roman" w:cs="Times New Roman"/>
          <w:b/>
          <w:bCs/>
          <w:sz w:val="26"/>
          <w:szCs w:val="26"/>
          <w:lang w:val="vi-VN"/>
        </w:rPr>
        <w:t>?</w:t>
      </w:r>
    </w:p>
    <w:p w14:paraId="5CA17335" w14:textId="3BFD8F33" w:rsidR="0022061A" w:rsidRPr="0022061A" w:rsidRDefault="0022061A" w:rsidP="008D086D">
      <w:pPr>
        <w:spacing w:line="360" w:lineRule="auto"/>
        <w:ind w:firstLine="720"/>
        <w:jc w:val="both"/>
        <w:rPr>
          <w:rFonts w:ascii="Times New Roman" w:eastAsia="Times New Roman" w:hAnsi="Times New Roman" w:cs="Times New Roman"/>
          <w:color w:val="212529"/>
        </w:rPr>
      </w:pPr>
      <w:r w:rsidRPr="0022061A">
        <w:rPr>
          <w:rFonts w:ascii="Times New Roman" w:eastAsia="Times New Roman" w:hAnsi="Times New Roman" w:cs="Times New Roman"/>
          <w:color w:val="212529"/>
          <w:lang w:val="vi-VN"/>
        </w:rPr>
        <w:t>T</w:t>
      </w:r>
      <w:r w:rsidRPr="0022061A">
        <w:rPr>
          <w:rFonts w:ascii="Times New Roman" w:eastAsia="Times New Roman" w:hAnsi="Times New Roman" w:cs="Times New Roman"/>
          <w:color w:val="212529"/>
        </w:rPr>
        <w:t>heo điều 4, luật chứng khoán 2019: “Chứng chỉ quỹ là loại chứng khoán xác nhận quyền sở hữu của nhà đầu tư đối với phần vốn góp của mình vào quỹ đại chúng hay còn gọi là quỹ mở”.</w:t>
      </w:r>
      <w:r w:rsidRPr="0022061A">
        <w:rPr>
          <w:rFonts w:ascii="Times New Roman" w:eastAsia="Times New Roman" w:hAnsi="Times New Roman" w:cs="Times New Roman"/>
          <w:color w:val="23395D"/>
          <w:sz w:val="26"/>
          <w:szCs w:val="26"/>
          <w:shd w:val="clear" w:color="auto" w:fill="F9F9F9"/>
        </w:rPr>
        <w:t xml:space="preserve"> </w:t>
      </w:r>
      <w:r w:rsidRPr="0022061A">
        <w:rPr>
          <w:rFonts w:ascii="Times New Roman" w:eastAsia="Times New Roman" w:hAnsi="Times New Roman" w:cs="Times New Roman"/>
          <w:color w:val="212529"/>
        </w:rPr>
        <w:t>Quỹ mở là quỹ đầu tư chứng khoán được thành lập từ sự góp vốn của nhiều nhà đầu tư, nguồn vốn của quỹ sẽ được đầu tư vào chứng khoán nhiều ngành khác nhau, nhằm mục đích phân tán rủi ro, hay còn gọi là “bỏ trứng vào nhiều rổ”. Nhà đầu tư mua chứng chỉ quỹ tức là đã ủy thác vốn cho các tổ chức quản lý quỹ mở, sau đó nhận lại một chứng chỉ gọi là chứng chỉ quỹ làm bằng chứng rằng nhà đầu tư đã góp vốn vào quỹ. Lợi nhuận của hoạt động đầu tư của quỹ sẽ được chia cho nhà đầu tư tương ứng với số tiền đã đóng góp ban đầu theo quy định.</w:t>
      </w:r>
    </w:p>
    <w:p w14:paraId="12123D01" w14:textId="7D615C61" w:rsidR="005B6773" w:rsidRPr="005B6773" w:rsidRDefault="005B6773" w:rsidP="00BA5D0B">
      <w:pPr>
        <w:spacing w:line="360" w:lineRule="auto"/>
        <w:jc w:val="both"/>
        <w:rPr>
          <w:rFonts w:ascii="Times New Roman" w:eastAsia="Times New Roman" w:hAnsi="Times New Roman" w:cs="Times New Roman"/>
          <w:b/>
          <w:bCs/>
          <w:color w:val="212529"/>
          <w:lang w:val="vi-VN"/>
        </w:rPr>
      </w:pPr>
      <w:r w:rsidRPr="005B6773">
        <w:rPr>
          <w:rFonts w:ascii="Times New Roman" w:eastAsia="Times New Roman" w:hAnsi="Times New Roman" w:cs="Times New Roman"/>
          <w:b/>
          <w:bCs/>
          <w:color w:val="212529"/>
          <w:lang w:val="vi-VN"/>
        </w:rPr>
        <w:t xml:space="preserve">2. </w:t>
      </w:r>
      <w:r>
        <w:rPr>
          <w:rFonts w:ascii="Times New Roman" w:eastAsia="Times New Roman" w:hAnsi="Times New Roman" w:cs="Times New Roman"/>
          <w:b/>
          <w:bCs/>
          <w:color w:val="212529"/>
          <w:lang w:val="vi-VN"/>
        </w:rPr>
        <w:t>Sự giống nhau và khác nhau giữa cổ phiếu và chứng chỉ quỹ</w:t>
      </w:r>
    </w:p>
    <w:p w14:paraId="04AF3E85" w14:textId="77777777" w:rsidR="005B6773" w:rsidRDefault="005B6773" w:rsidP="008D086D">
      <w:pPr>
        <w:spacing w:line="360" w:lineRule="auto"/>
        <w:ind w:firstLine="720"/>
        <w:jc w:val="both"/>
        <w:rPr>
          <w:rFonts w:ascii="Times New Roman" w:eastAsia="Times New Roman" w:hAnsi="Times New Roman" w:cs="Times New Roman"/>
          <w:color w:val="212529"/>
        </w:rPr>
      </w:pPr>
      <w:r w:rsidRPr="005B6773">
        <w:rPr>
          <w:rFonts w:ascii="Times New Roman" w:eastAsia="Times New Roman" w:hAnsi="Times New Roman" w:cs="Times New Roman"/>
          <w:b/>
          <w:bCs/>
          <w:i/>
          <w:iCs/>
          <w:color w:val="212529"/>
        </w:rPr>
        <w:t>Giống</w:t>
      </w:r>
      <w:r w:rsidRPr="005B6773">
        <w:rPr>
          <w:rFonts w:ascii="Times New Roman" w:eastAsia="Times New Roman" w:hAnsi="Times New Roman" w:cs="Times New Roman"/>
          <w:b/>
          <w:bCs/>
          <w:i/>
          <w:iCs/>
          <w:color w:val="212529"/>
          <w:lang w:val="vi-VN"/>
        </w:rPr>
        <w:t xml:space="preserve"> nhau</w:t>
      </w:r>
      <w:r>
        <w:rPr>
          <w:rFonts w:ascii="Times New Roman" w:eastAsia="Times New Roman" w:hAnsi="Times New Roman" w:cs="Times New Roman"/>
          <w:color w:val="212529"/>
          <w:lang w:val="vi-VN"/>
        </w:rPr>
        <w:t xml:space="preserve">: </w:t>
      </w:r>
      <w:r w:rsidR="0022061A" w:rsidRPr="0022061A">
        <w:rPr>
          <w:rFonts w:ascii="Times New Roman" w:eastAsia="Times New Roman" w:hAnsi="Times New Roman" w:cs="Times New Roman"/>
          <w:color w:val="212529"/>
        </w:rPr>
        <w:t xml:space="preserve">Về bản chất, chứng chỉ quỹ gần giống với cổ phiếu khi đều là bằng chứng xác nhận quyền sở hữu, quyền lợi, trách nhiệm của nhà đầu tư với phần góp vốn của mình. </w:t>
      </w:r>
    </w:p>
    <w:p w14:paraId="38CD90BF" w14:textId="306DA04F" w:rsidR="0022061A" w:rsidRPr="0022061A" w:rsidRDefault="005B6773" w:rsidP="008D086D">
      <w:pPr>
        <w:spacing w:line="360" w:lineRule="auto"/>
        <w:ind w:firstLine="720"/>
        <w:jc w:val="both"/>
        <w:rPr>
          <w:rFonts w:ascii="Times New Roman" w:eastAsia="Times New Roman" w:hAnsi="Times New Roman" w:cs="Times New Roman"/>
          <w:color w:val="212529"/>
        </w:rPr>
      </w:pPr>
      <w:r w:rsidRPr="005B6773">
        <w:rPr>
          <w:rFonts w:ascii="Times New Roman" w:eastAsia="Times New Roman" w:hAnsi="Times New Roman" w:cs="Times New Roman"/>
          <w:b/>
          <w:bCs/>
          <w:i/>
          <w:iCs/>
          <w:color w:val="212529"/>
        </w:rPr>
        <w:t>Khác</w:t>
      </w:r>
      <w:r w:rsidRPr="005B6773">
        <w:rPr>
          <w:rFonts w:ascii="Times New Roman" w:eastAsia="Times New Roman" w:hAnsi="Times New Roman" w:cs="Times New Roman"/>
          <w:b/>
          <w:bCs/>
          <w:i/>
          <w:iCs/>
          <w:color w:val="212529"/>
          <w:lang w:val="vi-VN"/>
        </w:rPr>
        <w:t xml:space="preserve"> nhau:</w:t>
      </w:r>
      <w:r>
        <w:rPr>
          <w:rFonts w:ascii="Times New Roman" w:eastAsia="Times New Roman" w:hAnsi="Times New Roman" w:cs="Times New Roman"/>
          <w:color w:val="212529"/>
          <w:lang w:val="vi-VN"/>
        </w:rPr>
        <w:t xml:space="preserve">  </w:t>
      </w:r>
      <w:r w:rsidR="0022061A" w:rsidRPr="0022061A">
        <w:rPr>
          <w:rFonts w:ascii="Times New Roman" w:eastAsia="Times New Roman" w:hAnsi="Times New Roman" w:cs="Times New Roman"/>
          <w:color w:val="212529"/>
        </w:rPr>
        <w:t>chứng chỉ quỹ và cổ phiếu có những điểm khác biệt cơ bản như sau:</w:t>
      </w:r>
    </w:p>
    <w:tbl>
      <w:tblPr>
        <w:tblW w:w="10482" w:type="dxa"/>
        <w:tblCellMar>
          <w:left w:w="0" w:type="dxa"/>
          <w:right w:w="0" w:type="dxa"/>
        </w:tblCellMar>
        <w:tblLook w:val="04A0" w:firstRow="1" w:lastRow="0" w:firstColumn="1" w:lastColumn="0" w:noHBand="0" w:noVBand="1"/>
      </w:tblPr>
      <w:tblGrid>
        <w:gridCol w:w="2260"/>
        <w:gridCol w:w="4253"/>
        <w:gridCol w:w="3969"/>
      </w:tblGrid>
      <w:tr w:rsidR="0022061A" w:rsidRPr="0022061A" w14:paraId="4DA117CD" w14:textId="77777777" w:rsidTr="00BA5D0B">
        <w:trPr>
          <w:trHeight w:val="345"/>
        </w:trPr>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bottom"/>
            <w:hideMark/>
          </w:tcPr>
          <w:p w14:paraId="4136B6B8" w14:textId="77777777" w:rsidR="0022061A" w:rsidRPr="0022061A" w:rsidRDefault="0022061A" w:rsidP="00BA5D0B">
            <w:pPr>
              <w:spacing w:line="360" w:lineRule="auto"/>
              <w:jc w:val="both"/>
              <w:rPr>
                <w:rFonts w:ascii="Times New Roman" w:eastAsia="Times New Roman" w:hAnsi="Times New Roman" w:cs="Times New Roman"/>
                <w:color w:val="212529"/>
              </w:rPr>
            </w:pPr>
            <w:r w:rsidRPr="0022061A">
              <w:rPr>
                <w:rFonts w:ascii="Times New Roman" w:eastAsia="Times New Roman" w:hAnsi="Times New Roman" w:cs="Times New Roman"/>
                <w:color w:val="212529"/>
              </w:rPr>
              <w:t> </w:t>
            </w:r>
          </w:p>
        </w:tc>
        <w:tc>
          <w:tcPr>
            <w:tcW w:w="425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bottom"/>
            <w:hideMark/>
          </w:tcPr>
          <w:p w14:paraId="6B0C87AF" w14:textId="77777777" w:rsidR="0022061A" w:rsidRPr="0022061A" w:rsidRDefault="0022061A" w:rsidP="00BA5D0B">
            <w:pPr>
              <w:spacing w:line="360" w:lineRule="auto"/>
              <w:jc w:val="both"/>
              <w:rPr>
                <w:rFonts w:ascii="Times New Roman" w:eastAsia="Times New Roman" w:hAnsi="Times New Roman" w:cs="Times New Roman"/>
                <w:color w:val="212529"/>
              </w:rPr>
            </w:pPr>
            <w:r w:rsidRPr="0022061A">
              <w:rPr>
                <w:rFonts w:ascii="Times New Roman" w:eastAsia="Times New Roman" w:hAnsi="Times New Roman" w:cs="Times New Roman"/>
                <w:b/>
                <w:bCs/>
                <w:color w:val="212529"/>
                <w:bdr w:val="none" w:sz="0" w:space="0" w:color="auto" w:frame="1"/>
              </w:rPr>
              <w:t>Chứng chỉ quỹ</w:t>
            </w:r>
          </w:p>
        </w:tc>
        <w:tc>
          <w:tcPr>
            <w:tcW w:w="396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bottom"/>
            <w:hideMark/>
          </w:tcPr>
          <w:p w14:paraId="5ABE326B" w14:textId="77777777" w:rsidR="0022061A" w:rsidRPr="0022061A" w:rsidRDefault="0022061A" w:rsidP="00BA5D0B">
            <w:pPr>
              <w:spacing w:line="360" w:lineRule="auto"/>
              <w:jc w:val="both"/>
              <w:rPr>
                <w:rFonts w:ascii="Times New Roman" w:eastAsia="Times New Roman" w:hAnsi="Times New Roman" w:cs="Times New Roman"/>
                <w:color w:val="212529"/>
              </w:rPr>
            </w:pPr>
            <w:r w:rsidRPr="0022061A">
              <w:rPr>
                <w:rFonts w:ascii="Times New Roman" w:eastAsia="Times New Roman" w:hAnsi="Times New Roman" w:cs="Times New Roman"/>
                <w:b/>
                <w:bCs/>
                <w:color w:val="212529"/>
                <w:bdr w:val="none" w:sz="0" w:space="0" w:color="auto" w:frame="1"/>
              </w:rPr>
              <w:t>Cổ phiếu</w:t>
            </w:r>
          </w:p>
        </w:tc>
      </w:tr>
      <w:tr w:rsidR="0022061A" w:rsidRPr="0022061A" w14:paraId="23A96BE6" w14:textId="77777777" w:rsidTr="00BA5D0B">
        <w:trPr>
          <w:trHeight w:val="345"/>
        </w:trPr>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bottom"/>
            <w:hideMark/>
          </w:tcPr>
          <w:p w14:paraId="381AE0A6" w14:textId="77777777" w:rsidR="0022061A" w:rsidRPr="0022061A" w:rsidRDefault="0022061A" w:rsidP="00BA5D0B">
            <w:pPr>
              <w:spacing w:line="360" w:lineRule="auto"/>
              <w:jc w:val="both"/>
              <w:rPr>
                <w:rFonts w:ascii="Times New Roman" w:eastAsia="Times New Roman" w:hAnsi="Times New Roman" w:cs="Times New Roman"/>
                <w:color w:val="212529"/>
              </w:rPr>
            </w:pPr>
            <w:r w:rsidRPr="0022061A">
              <w:rPr>
                <w:rFonts w:ascii="Times New Roman" w:eastAsia="Times New Roman" w:hAnsi="Times New Roman" w:cs="Times New Roman"/>
                <w:color w:val="212529"/>
              </w:rPr>
              <w:t>Mục đích của tổ chức phát hành</w:t>
            </w:r>
          </w:p>
        </w:tc>
        <w:tc>
          <w:tcPr>
            <w:tcW w:w="425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bottom"/>
            <w:hideMark/>
          </w:tcPr>
          <w:p w14:paraId="7A291D96" w14:textId="77777777" w:rsidR="0022061A" w:rsidRPr="0022061A" w:rsidRDefault="0022061A" w:rsidP="00BA5D0B">
            <w:pPr>
              <w:spacing w:line="360" w:lineRule="auto"/>
              <w:jc w:val="both"/>
              <w:rPr>
                <w:rFonts w:ascii="Times New Roman" w:eastAsia="Times New Roman" w:hAnsi="Times New Roman" w:cs="Times New Roman"/>
                <w:color w:val="212529"/>
              </w:rPr>
            </w:pPr>
            <w:r w:rsidRPr="0022061A">
              <w:rPr>
                <w:rFonts w:ascii="Times New Roman" w:eastAsia="Times New Roman" w:hAnsi="Times New Roman" w:cs="Times New Roman"/>
                <w:color w:val="212529"/>
              </w:rPr>
              <w:t>Chứng chỉ quỹ là phương tiện để thành lập quỹ của quỹ đầu tư đại chúng.</w:t>
            </w:r>
          </w:p>
        </w:tc>
        <w:tc>
          <w:tcPr>
            <w:tcW w:w="396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bottom"/>
            <w:hideMark/>
          </w:tcPr>
          <w:p w14:paraId="1661092B" w14:textId="77777777" w:rsidR="0022061A" w:rsidRPr="0022061A" w:rsidRDefault="0022061A" w:rsidP="00BA5D0B">
            <w:pPr>
              <w:spacing w:line="360" w:lineRule="auto"/>
              <w:jc w:val="both"/>
              <w:rPr>
                <w:rFonts w:ascii="Times New Roman" w:eastAsia="Times New Roman" w:hAnsi="Times New Roman" w:cs="Times New Roman"/>
                <w:color w:val="212529"/>
              </w:rPr>
            </w:pPr>
            <w:r w:rsidRPr="0022061A">
              <w:rPr>
                <w:rFonts w:ascii="Times New Roman" w:eastAsia="Times New Roman" w:hAnsi="Times New Roman" w:cs="Times New Roman"/>
                <w:color w:val="212529"/>
              </w:rPr>
              <w:t>Cổ phiếu là phương tiện huy động vốn của một công ty kinh doanh trong những ngành nghề cụ thể.</w:t>
            </w:r>
          </w:p>
        </w:tc>
      </w:tr>
      <w:tr w:rsidR="0022061A" w:rsidRPr="0022061A" w14:paraId="2E082CF7" w14:textId="77777777" w:rsidTr="00BA5D0B">
        <w:trPr>
          <w:trHeight w:val="2287"/>
        </w:trPr>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bottom"/>
            <w:hideMark/>
          </w:tcPr>
          <w:p w14:paraId="359D0FA7" w14:textId="77777777" w:rsidR="0022061A" w:rsidRPr="0022061A" w:rsidRDefault="0022061A" w:rsidP="00BA5D0B">
            <w:pPr>
              <w:spacing w:line="360" w:lineRule="auto"/>
              <w:jc w:val="both"/>
              <w:rPr>
                <w:rFonts w:ascii="Times New Roman" w:eastAsia="Times New Roman" w:hAnsi="Times New Roman" w:cs="Times New Roman"/>
                <w:color w:val="212529"/>
              </w:rPr>
            </w:pPr>
            <w:r w:rsidRPr="0022061A">
              <w:rPr>
                <w:rFonts w:ascii="Times New Roman" w:eastAsia="Times New Roman" w:hAnsi="Times New Roman" w:cs="Times New Roman"/>
                <w:color w:val="212529"/>
              </w:rPr>
              <w:t>Quyền quyết định của nhà đầu tư</w:t>
            </w:r>
          </w:p>
        </w:tc>
        <w:tc>
          <w:tcPr>
            <w:tcW w:w="425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bottom"/>
            <w:hideMark/>
          </w:tcPr>
          <w:p w14:paraId="656E3CE0" w14:textId="77777777" w:rsidR="0022061A" w:rsidRPr="0022061A" w:rsidRDefault="0022061A" w:rsidP="00BA5D0B">
            <w:pPr>
              <w:spacing w:line="360" w:lineRule="auto"/>
              <w:jc w:val="both"/>
              <w:rPr>
                <w:rFonts w:ascii="Times New Roman" w:eastAsia="Times New Roman" w:hAnsi="Times New Roman" w:cs="Times New Roman"/>
                <w:color w:val="212529"/>
              </w:rPr>
            </w:pPr>
            <w:r w:rsidRPr="0022061A">
              <w:rPr>
                <w:rFonts w:ascii="Times New Roman" w:eastAsia="Times New Roman" w:hAnsi="Times New Roman" w:cs="Times New Roman"/>
                <w:color w:val="212529"/>
              </w:rPr>
              <w:t>Nhà đầu tư chứng chỉ quỹ không có quyền quản lý danh mục đầu tư. Công ty quản lý quỹ toàn quyền quyết định đầu tư vào cổ phiếu, trái phiếu nào. </w:t>
            </w:r>
            <w:r w:rsidRPr="0022061A">
              <w:rPr>
                <w:rFonts w:ascii="Times New Roman" w:eastAsia="Times New Roman" w:hAnsi="Times New Roman" w:cs="Times New Roman"/>
                <w:color w:val="212529"/>
              </w:rPr>
              <w:br/>
              <w:t>Nhà đầu tư chỉ có quyền mua bán chứng chỉ quỹ.</w:t>
            </w:r>
          </w:p>
        </w:tc>
        <w:tc>
          <w:tcPr>
            <w:tcW w:w="396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bottom"/>
            <w:hideMark/>
          </w:tcPr>
          <w:p w14:paraId="51225AF4" w14:textId="77777777" w:rsidR="0022061A" w:rsidRPr="0022061A" w:rsidRDefault="0022061A" w:rsidP="00BA5D0B">
            <w:pPr>
              <w:spacing w:line="360" w:lineRule="auto"/>
              <w:jc w:val="both"/>
              <w:rPr>
                <w:rFonts w:ascii="Times New Roman" w:eastAsia="Times New Roman" w:hAnsi="Times New Roman" w:cs="Times New Roman"/>
                <w:color w:val="212529"/>
              </w:rPr>
            </w:pPr>
            <w:r w:rsidRPr="0022061A">
              <w:rPr>
                <w:rFonts w:ascii="Times New Roman" w:eastAsia="Times New Roman" w:hAnsi="Times New Roman" w:cs="Times New Roman"/>
                <w:color w:val="212529"/>
              </w:rPr>
              <w:t>Nhà đầu tư sở hữu cổ phiếu có thể tự do quyết định mua bán số cổ phiếu của mình.</w:t>
            </w:r>
          </w:p>
        </w:tc>
      </w:tr>
      <w:tr w:rsidR="0022061A" w:rsidRPr="0022061A" w14:paraId="7F82214B" w14:textId="77777777" w:rsidTr="00BA5D0B">
        <w:trPr>
          <w:trHeight w:val="345"/>
        </w:trPr>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bottom"/>
            <w:hideMark/>
          </w:tcPr>
          <w:p w14:paraId="0AB1CFE8" w14:textId="77777777" w:rsidR="0022061A" w:rsidRPr="0022061A" w:rsidRDefault="0022061A" w:rsidP="00BA5D0B">
            <w:pPr>
              <w:spacing w:line="360" w:lineRule="auto"/>
              <w:jc w:val="both"/>
              <w:rPr>
                <w:rFonts w:ascii="Times New Roman" w:eastAsia="Times New Roman" w:hAnsi="Times New Roman" w:cs="Times New Roman"/>
                <w:color w:val="212529"/>
              </w:rPr>
            </w:pPr>
            <w:r w:rsidRPr="0022061A">
              <w:rPr>
                <w:rFonts w:ascii="Times New Roman" w:eastAsia="Times New Roman" w:hAnsi="Times New Roman" w:cs="Times New Roman"/>
                <w:color w:val="212529"/>
              </w:rPr>
              <w:t>Trách nhiệm của nhà đầu tư</w:t>
            </w:r>
          </w:p>
        </w:tc>
        <w:tc>
          <w:tcPr>
            <w:tcW w:w="425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bottom"/>
            <w:hideMark/>
          </w:tcPr>
          <w:p w14:paraId="6281B864" w14:textId="77777777" w:rsidR="0022061A" w:rsidRPr="0022061A" w:rsidRDefault="0022061A" w:rsidP="00BA5D0B">
            <w:pPr>
              <w:spacing w:line="360" w:lineRule="auto"/>
              <w:jc w:val="both"/>
              <w:rPr>
                <w:rFonts w:ascii="Times New Roman" w:eastAsia="Times New Roman" w:hAnsi="Times New Roman" w:cs="Times New Roman"/>
                <w:color w:val="212529"/>
              </w:rPr>
            </w:pPr>
            <w:r w:rsidRPr="0022061A">
              <w:rPr>
                <w:rFonts w:ascii="Times New Roman" w:eastAsia="Times New Roman" w:hAnsi="Times New Roman" w:cs="Times New Roman"/>
                <w:color w:val="212529"/>
              </w:rPr>
              <w:t>Trách nhiệm đầu tư vào chứng khoán nào do quỹ đầu tư thay mặt nhà đầu tư thực hiện.</w:t>
            </w:r>
          </w:p>
        </w:tc>
        <w:tc>
          <w:tcPr>
            <w:tcW w:w="396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bottom"/>
            <w:hideMark/>
          </w:tcPr>
          <w:p w14:paraId="258BCE9D" w14:textId="77777777" w:rsidR="0022061A" w:rsidRPr="0022061A" w:rsidRDefault="0022061A" w:rsidP="00BA5D0B">
            <w:pPr>
              <w:spacing w:line="360" w:lineRule="auto"/>
              <w:jc w:val="both"/>
              <w:rPr>
                <w:rFonts w:ascii="Times New Roman" w:eastAsia="Times New Roman" w:hAnsi="Times New Roman" w:cs="Times New Roman"/>
                <w:color w:val="212529"/>
              </w:rPr>
            </w:pPr>
            <w:r w:rsidRPr="0022061A">
              <w:rPr>
                <w:rFonts w:ascii="Times New Roman" w:eastAsia="Times New Roman" w:hAnsi="Times New Roman" w:cs="Times New Roman"/>
                <w:color w:val="212529"/>
              </w:rPr>
              <w:t>Nhà đầu tư dựa vào sự đánh giá của mình để ra quyết định và theo dõi khoản đầu tư.</w:t>
            </w:r>
          </w:p>
        </w:tc>
      </w:tr>
    </w:tbl>
    <w:p w14:paraId="3E44264B" w14:textId="44B21650" w:rsidR="0022061A" w:rsidRPr="0022061A" w:rsidRDefault="005B6773" w:rsidP="00BA5D0B">
      <w:pPr>
        <w:spacing w:line="360" w:lineRule="auto"/>
        <w:jc w:val="both"/>
        <w:textAlignment w:val="baseline"/>
        <w:outlineLvl w:val="2"/>
        <w:rPr>
          <w:rFonts w:ascii="Times New Roman" w:eastAsia="Times New Roman" w:hAnsi="Times New Roman" w:cs="Times New Roman"/>
          <w:b/>
          <w:bCs/>
          <w:color w:val="012D4C"/>
          <w:sz w:val="28"/>
          <w:szCs w:val="28"/>
        </w:rPr>
      </w:pPr>
      <w:r w:rsidRPr="005B6773">
        <w:rPr>
          <w:rFonts w:ascii="Times New Roman" w:eastAsia="Times New Roman" w:hAnsi="Times New Roman" w:cs="Times New Roman"/>
          <w:b/>
          <w:bCs/>
          <w:color w:val="012D4C"/>
          <w:sz w:val="28"/>
          <w:szCs w:val="28"/>
          <w:lang w:val="vi-VN"/>
        </w:rPr>
        <w:t xml:space="preserve">3. </w:t>
      </w:r>
      <w:r w:rsidR="0022061A" w:rsidRPr="0022061A">
        <w:rPr>
          <w:rFonts w:ascii="Times New Roman" w:eastAsia="Times New Roman" w:hAnsi="Times New Roman" w:cs="Times New Roman"/>
          <w:b/>
          <w:bCs/>
          <w:color w:val="012D4C"/>
          <w:sz w:val="28"/>
          <w:szCs w:val="28"/>
        </w:rPr>
        <w:t>Ưu và nhược điểm của chứng chỉ quỹ</w:t>
      </w:r>
    </w:p>
    <w:p w14:paraId="577DE263" w14:textId="77777777" w:rsidR="0022061A" w:rsidRPr="0022061A" w:rsidRDefault="0022061A" w:rsidP="008D086D">
      <w:pPr>
        <w:spacing w:line="360" w:lineRule="auto"/>
        <w:ind w:firstLine="720"/>
        <w:jc w:val="both"/>
        <w:textAlignment w:val="baseline"/>
        <w:outlineLvl w:val="3"/>
        <w:rPr>
          <w:rFonts w:ascii="Times New Roman" w:eastAsia="Times New Roman" w:hAnsi="Times New Roman" w:cs="Times New Roman"/>
          <w:b/>
          <w:bCs/>
          <w:i/>
          <w:iCs/>
          <w:color w:val="012D4C"/>
          <w:sz w:val="26"/>
          <w:szCs w:val="26"/>
        </w:rPr>
      </w:pPr>
      <w:r w:rsidRPr="0022061A">
        <w:rPr>
          <w:rFonts w:ascii="Times New Roman" w:eastAsia="Times New Roman" w:hAnsi="Times New Roman" w:cs="Times New Roman"/>
          <w:b/>
          <w:bCs/>
          <w:i/>
          <w:iCs/>
          <w:color w:val="012D4C"/>
          <w:sz w:val="26"/>
          <w:szCs w:val="26"/>
        </w:rPr>
        <w:t>Ưu điểm</w:t>
      </w:r>
    </w:p>
    <w:p w14:paraId="1362D353" w14:textId="790FDC4F" w:rsidR="0022061A" w:rsidRPr="0022061A" w:rsidRDefault="005B6773" w:rsidP="00BA5D0B">
      <w:pPr>
        <w:spacing w:line="360" w:lineRule="auto"/>
        <w:jc w:val="both"/>
        <w:textAlignment w:val="baseline"/>
        <w:rPr>
          <w:rFonts w:ascii="Times New Roman" w:eastAsia="Times New Roman" w:hAnsi="Times New Roman" w:cs="Times New Roman"/>
          <w:color w:val="212529"/>
        </w:rPr>
      </w:pPr>
      <w:r w:rsidRPr="008D086D">
        <w:rPr>
          <w:rFonts w:ascii="Times New Roman" w:eastAsia="Times New Roman" w:hAnsi="Times New Roman" w:cs="Times New Roman"/>
          <w:i/>
          <w:iCs/>
          <w:color w:val="212529"/>
          <w:lang w:val="vi-VN"/>
        </w:rPr>
        <w:lastRenderedPageBreak/>
        <w:t xml:space="preserve">- </w:t>
      </w:r>
      <w:r w:rsidR="0022061A" w:rsidRPr="0022061A">
        <w:rPr>
          <w:rFonts w:ascii="Times New Roman" w:eastAsia="Times New Roman" w:hAnsi="Times New Roman" w:cs="Times New Roman"/>
          <w:i/>
          <w:iCs/>
          <w:color w:val="212529"/>
        </w:rPr>
        <w:t xml:space="preserve">Dành </w:t>
      </w:r>
      <w:r w:rsidR="0022061A" w:rsidRPr="0022061A">
        <w:rPr>
          <w:rFonts w:ascii="Times New Roman" w:eastAsia="Times New Roman" w:hAnsi="Times New Roman" w:cs="Times New Roman"/>
          <w:color w:val="212529"/>
        </w:rPr>
        <w:t>cho nhà đầu tư ít kinh nghiệm: Vì những đặc điểm của chứng chỉ quỹ, nhà đầu tư chứng chỉ quỹ không nhất thiết phải là chuyên gia tài chính để có thể tham gia thị trường chứng khoán. Bên cạnh đó, nhà đầu tư cũng tiết kiệm được thời gian trong khi vẫn tận dụng được cơ hội sinh lợi từ số tiền nhàn rỗi.</w:t>
      </w:r>
    </w:p>
    <w:p w14:paraId="5151C515" w14:textId="09839DF4" w:rsidR="0022061A" w:rsidRPr="0022061A" w:rsidRDefault="00D73C85" w:rsidP="00BA5D0B">
      <w:pPr>
        <w:spacing w:line="360" w:lineRule="auto"/>
        <w:jc w:val="both"/>
        <w:textAlignment w:val="baseline"/>
        <w:rPr>
          <w:rFonts w:ascii="Times New Roman" w:eastAsia="Times New Roman" w:hAnsi="Times New Roman" w:cs="Times New Roman"/>
          <w:color w:val="212529"/>
        </w:rPr>
      </w:pPr>
      <w:r>
        <w:rPr>
          <w:rFonts w:ascii="Times New Roman" w:eastAsia="Times New Roman" w:hAnsi="Times New Roman" w:cs="Times New Roman"/>
          <w:color w:val="212529"/>
          <w:lang w:val="vi-VN"/>
        </w:rPr>
        <w:t xml:space="preserve">- </w:t>
      </w:r>
      <w:r w:rsidR="0022061A" w:rsidRPr="0022061A">
        <w:rPr>
          <w:rFonts w:ascii="Times New Roman" w:eastAsia="Times New Roman" w:hAnsi="Times New Roman" w:cs="Times New Roman"/>
          <w:color w:val="212529"/>
        </w:rPr>
        <w:t>Giảm rủi ro: Các quyết định đầu tư sẽ được đưa ra bởi các chuyên gia của quỹ, giúp giảm rủi ro cho nhà đầu tư. Các chuyên gia sẽ giúp nhà đầu tư đưa ra lựa chọn, việc của nhà đầu tư chỉ là mua chứng chỉ quỹ và hưởng lợi nhuận khi có lãi.</w:t>
      </w:r>
    </w:p>
    <w:p w14:paraId="49029DBB" w14:textId="141A34E2" w:rsidR="0022061A" w:rsidRPr="0022061A" w:rsidRDefault="00D73C85" w:rsidP="00BA5D0B">
      <w:pPr>
        <w:spacing w:line="360" w:lineRule="auto"/>
        <w:jc w:val="both"/>
        <w:textAlignment w:val="baseline"/>
        <w:rPr>
          <w:rFonts w:ascii="Times New Roman" w:eastAsia="Times New Roman" w:hAnsi="Times New Roman" w:cs="Times New Roman"/>
          <w:color w:val="212529"/>
        </w:rPr>
      </w:pPr>
      <w:r>
        <w:rPr>
          <w:rFonts w:ascii="Times New Roman" w:eastAsia="Times New Roman" w:hAnsi="Times New Roman" w:cs="Times New Roman"/>
          <w:color w:val="212529"/>
          <w:lang w:val="vi-VN"/>
        </w:rPr>
        <w:t xml:space="preserve">- </w:t>
      </w:r>
      <w:r w:rsidR="0022061A" w:rsidRPr="0022061A">
        <w:rPr>
          <w:rFonts w:ascii="Times New Roman" w:eastAsia="Times New Roman" w:hAnsi="Times New Roman" w:cs="Times New Roman"/>
          <w:color w:val="212529"/>
        </w:rPr>
        <w:t>Khoản đầu tư ổn định trong dài hạn: Đầu tư chứng chỉ quỹ sẽ đem tới cho nhà đầu tư nguồn thu nhập ổn định và thường xuyên. Đặc biệt là trong dài hạn, chứng chỉ quỹ sẽ chịu ít tác động từ thị trường, giúp đảm bảo các quyền lợi của nhà đầu tư.</w:t>
      </w:r>
    </w:p>
    <w:p w14:paraId="0469E661" w14:textId="77777777" w:rsidR="0022061A" w:rsidRPr="0022061A" w:rsidRDefault="0022061A" w:rsidP="008D086D">
      <w:pPr>
        <w:spacing w:line="360" w:lineRule="auto"/>
        <w:ind w:firstLine="720"/>
        <w:jc w:val="both"/>
        <w:textAlignment w:val="baseline"/>
        <w:outlineLvl w:val="3"/>
        <w:rPr>
          <w:rFonts w:ascii="Times New Roman" w:eastAsia="Times New Roman" w:hAnsi="Times New Roman" w:cs="Times New Roman"/>
          <w:b/>
          <w:bCs/>
          <w:i/>
          <w:iCs/>
          <w:color w:val="012D4C"/>
          <w:sz w:val="26"/>
          <w:szCs w:val="26"/>
        </w:rPr>
      </w:pPr>
      <w:r w:rsidRPr="0022061A">
        <w:rPr>
          <w:rFonts w:ascii="Times New Roman" w:eastAsia="Times New Roman" w:hAnsi="Times New Roman" w:cs="Times New Roman"/>
          <w:b/>
          <w:bCs/>
          <w:i/>
          <w:iCs/>
          <w:color w:val="012D4C"/>
          <w:sz w:val="26"/>
          <w:szCs w:val="26"/>
        </w:rPr>
        <w:t>Nhược điểm</w:t>
      </w:r>
    </w:p>
    <w:p w14:paraId="6DB7C9BD" w14:textId="50654DA1" w:rsidR="0022061A" w:rsidRPr="0022061A" w:rsidRDefault="00D73C85" w:rsidP="00BA5D0B">
      <w:pPr>
        <w:spacing w:line="360" w:lineRule="auto"/>
        <w:jc w:val="both"/>
        <w:textAlignment w:val="baseline"/>
        <w:rPr>
          <w:rFonts w:ascii="Times New Roman" w:eastAsia="Times New Roman" w:hAnsi="Times New Roman" w:cs="Times New Roman"/>
          <w:color w:val="212529"/>
        </w:rPr>
      </w:pPr>
      <w:r>
        <w:rPr>
          <w:rFonts w:ascii="Times New Roman" w:eastAsia="Times New Roman" w:hAnsi="Times New Roman" w:cs="Times New Roman"/>
          <w:color w:val="212529"/>
          <w:lang w:val="vi-VN"/>
        </w:rPr>
        <w:t xml:space="preserve">- </w:t>
      </w:r>
      <w:r w:rsidR="0022061A" w:rsidRPr="0022061A">
        <w:rPr>
          <w:rFonts w:ascii="Times New Roman" w:eastAsia="Times New Roman" w:hAnsi="Times New Roman" w:cs="Times New Roman"/>
          <w:color w:val="212529"/>
        </w:rPr>
        <w:t>Không được tham gia vào quyết định đầu tư: Quỹ đầu tư chịu trách nhiệm trong việc đầu tư, vì vậy nhà đầu tư không có quyền quyết định đầu tư vào một chứng khoán cụ thể nào.</w:t>
      </w:r>
    </w:p>
    <w:p w14:paraId="3EC341D5" w14:textId="2929D5C7" w:rsidR="0022061A" w:rsidRPr="0022061A" w:rsidRDefault="00D73C85" w:rsidP="00BA5D0B">
      <w:pPr>
        <w:spacing w:line="360" w:lineRule="auto"/>
        <w:jc w:val="both"/>
        <w:textAlignment w:val="baseline"/>
        <w:rPr>
          <w:rFonts w:ascii="Times New Roman" w:eastAsia="Times New Roman" w:hAnsi="Times New Roman" w:cs="Times New Roman"/>
          <w:color w:val="212529"/>
        </w:rPr>
      </w:pPr>
      <w:r>
        <w:rPr>
          <w:rFonts w:ascii="Times New Roman" w:eastAsia="Times New Roman" w:hAnsi="Times New Roman" w:cs="Times New Roman"/>
          <w:color w:val="212529"/>
          <w:lang w:val="vi-VN"/>
        </w:rPr>
        <w:t xml:space="preserve">- </w:t>
      </w:r>
      <w:r w:rsidR="0022061A" w:rsidRPr="0022061A">
        <w:rPr>
          <w:rFonts w:ascii="Times New Roman" w:eastAsia="Times New Roman" w:hAnsi="Times New Roman" w:cs="Times New Roman"/>
          <w:color w:val="212529"/>
        </w:rPr>
        <w:t>Có thể không đạt được lợi nhuận như kì vọng: Không phải lúc nào chuyên gia của quỹ cũng đưa ra quyết định hoàn toàn chính xác. Quỹ đầu tư có thể sinh lời nhiều, ít, không sinh lời hoặc thậm chí lỗ. Nhà đầu tư cần tìm hiểu kỹ về các loại chứng khoán mà quỹ rót tiền để đánh giá xem có phù hợp với mục tiêu lợi nhuận và khẩu vị rủi ro của mình hay không.</w:t>
      </w:r>
    </w:p>
    <w:p w14:paraId="63C1710D" w14:textId="16C79C2A" w:rsidR="0022061A" w:rsidRPr="0022061A" w:rsidRDefault="00D73C85" w:rsidP="00BA5D0B">
      <w:pPr>
        <w:spacing w:line="360" w:lineRule="auto"/>
        <w:jc w:val="both"/>
        <w:textAlignment w:val="baseline"/>
        <w:outlineLvl w:val="2"/>
        <w:rPr>
          <w:rFonts w:ascii="Times New Roman" w:eastAsia="Times New Roman" w:hAnsi="Times New Roman" w:cs="Times New Roman"/>
          <w:b/>
          <w:bCs/>
          <w:color w:val="012D4C"/>
          <w:sz w:val="26"/>
          <w:szCs w:val="26"/>
        </w:rPr>
      </w:pPr>
      <w:r w:rsidRPr="00D73C85">
        <w:rPr>
          <w:rFonts w:ascii="Times New Roman" w:eastAsia="Times New Roman" w:hAnsi="Times New Roman" w:cs="Times New Roman"/>
          <w:b/>
          <w:bCs/>
          <w:color w:val="012D4C"/>
          <w:sz w:val="26"/>
          <w:szCs w:val="26"/>
          <w:lang w:val="vi-VN"/>
        </w:rPr>
        <w:t xml:space="preserve"> 4. </w:t>
      </w:r>
      <w:r w:rsidR="0022061A" w:rsidRPr="0022061A">
        <w:rPr>
          <w:rFonts w:ascii="Times New Roman" w:eastAsia="Times New Roman" w:hAnsi="Times New Roman" w:cs="Times New Roman"/>
          <w:b/>
          <w:bCs/>
          <w:color w:val="012D4C"/>
          <w:sz w:val="26"/>
          <w:szCs w:val="26"/>
        </w:rPr>
        <w:t>Có nên đầu tư vào chứng chỉ quỹ?</w:t>
      </w:r>
    </w:p>
    <w:p w14:paraId="0F1AF66A" w14:textId="4059A149" w:rsidR="0022061A" w:rsidRDefault="00D73C85" w:rsidP="00BA5D0B">
      <w:pPr>
        <w:spacing w:line="360" w:lineRule="auto"/>
        <w:jc w:val="both"/>
        <w:rPr>
          <w:rFonts w:ascii="Times New Roman" w:eastAsia="Times New Roman" w:hAnsi="Times New Roman" w:cs="Times New Roman"/>
          <w:color w:val="212529"/>
        </w:rPr>
      </w:pPr>
      <w:r w:rsidRPr="0022061A">
        <w:rPr>
          <w:rFonts w:ascii="Times New Roman" w:eastAsia="Times New Roman" w:hAnsi="Times New Roman" w:cs="Times New Roman"/>
          <w:color w:val="212529"/>
        </w:rPr>
        <w:t xml:space="preserve"> </w:t>
      </w:r>
      <w:r w:rsidR="0022061A" w:rsidRPr="0022061A">
        <w:rPr>
          <w:rFonts w:ascii="Times New Roman" w:eastAsia="Times New Roman" w:hAnsi="Times New Roman" w:cs="Times New Roman"/>
          <w:color w:val="212529"/>
        </w:rPr>
        <w:t>Bất cứ sản phẩm đầu tư nào cũng sẽ có những rủi ro nhất định. Vì thế, để trả lời được câu hỏi có nên đầu tư, giao dịch chứng chỉ quỹ không, nhà đầu tư cần hiểu rõ về các lợi ích và rủi ro khi tham gia đầu tư vào sản phẩm này. Việc đánh giá các ưu điểm và nhược điểm ở trên cũng phần nào giúp nhà đầu tư quyết định xem việc đầu tư chứng chỉ quỹ có phù hợp với mình không. Nên đầu tư vào chứng chỉ quỹ nào: Khi quyết định đầu tư vào chứng chỉ quỹ, nhà đầu tư cần nghiên cứu và lựa chọn quỹ tốt, dựa trên một số tiêu chí như độ uy tín, lịch sử hoạt động, kinh nghiệm</w:t>
      </w:r>
    </w:p>
    <w:p w14:paraId="3A8937D1" w14:textId="03FB7371" w:rsidR="00D73C85" w:rsidRPr="0022061A" w:rsidRDefault="00D73C85" w:rsidP="00BA5D0B">
      <w:pPr>
        <w:spacing w:line="360" w:lineRule="auto"/>
        <w:jc w:val="both"/>
        <w:rPr>
          <w:rFonts w:ascii="Times New Roman" w:eastAsia="Times New Roman" w:hAnsi="Times New Roman" w:cs="Times New Roman"/>
          <w:b/>
          <w:bCs/>
          <w:color w:val="212529"/>
          <w:lang w:val="vi-VN"/>
        </w:rPr>
      </w:pPr>
      <w:r w:rsidRPr="00D73C85">
        <w:rPr>
          <w:rFonts w:ascii="Times New Roman" w:eastAsia="Times New Roman" w:hAnsi="Times New Roman" w:cs="Times New Roman"/>
          <w:b/>
          <w:bCs/>
          <w:color w:val="212529"/>
          <w:lang w:val="vi-VN"/>
        </w:rPr>
        <w:t>5. Các chứng chỉ quỹ uy tín</w:t>
      </w:r>
      <w:r w:rsidR="003F567F">
        <w:rPr>
          <w:rFonts w:ascii="Times New Roman" w:eastAsia="Times New Roman" w:hAnsi="Times New Roman" w:cs="Times New Roman"/>
          <w:b/>
          <w:bCs/>
          <w:color w:val="212529"/>
          <w:lang w:val="vi-VN"/>
        </w:rPr>
        <w:t xml:space="preserve"> </w:t>
      </w:r>
    </w:p>
    <w:tbl>
      <w:tblPr>
        <w:tblStyle w:val="TableGrid"/>
        <w:tblpPr w:leftFromText="180" w:rightFromText="180" w:vertAnchor="text" w:horzAnchor="margin" w:tblpXSpec="center" w:tblpY="87"/>
        <w:tblW w:w="0" w:type="auto"/>
        <w:tblLook w:val="04A0" w:firstRow="1" w:lastRow="0" w:firstColumn="1" w:lastColumn="0" w:noHBand="0" w:noVBand="1"/>
      </w:tblPr>
      <w:tblGrid>
        <w:gridCol w:w="1413"/>
        <w:gridCol w:w="2268"/>
        <w:gridCol w:w="2977"/>
        <w:gridCol w:w="2551"/>
      </w:tblGrid>
      <w:tr w:rsidR="007E1E9C" w14:paraId="32D65669" w14:textId="77777777" w:rsidTr="00BA5D0B">
        <w:tc>
          <w:tcPr>
            <w:tcW w:w="1413" w:type="dxa"/>
          </w:tcPr>
          <w:p w14:paraId="183E7D04" w14:textId="77777777" w:rsidR="007E1E9C" w:rsidRPr="007E1E9C" w:rsidRDefault="007E1E9C" w:rsidP="00BA5D0B">
            <w:pPr>
              <w:spacing w:line="360" w:lineRule="auto"/>
              <w:jc w:val="both"/>
              <w:rPr>
                <w:rFonts w:ascii="Times New Roman" w:hAnsi="Times New Roman" w:cs="Times New Roman"/>
                <w:sz w:val="26"/>
                <w:szCs w:val="26"/>
                <w:lang w:val="vi-VN"/>
              </w:rPr>
            </w:pPr>
            <w:r w:rsidRPr="007E1E9C">
              <w:rPr>
                <w:rFonts w:ascii="Times New Roman" w:hAnsi="Times New Roman" w:cs="Times New Roman"/>
                <w:sz w:val="26"/>
                <w:szCs w:val="26"/>
                <w:lang w:val="vi-VN"/>
              </w:rPr>
              <w:t>Xếp hạng</w:t>
            </w:r>
          </w:p>
        </w:tc>
        <w:tc>
          <w:tcPr>
            <w:tcW w:w="2268" w:type="dxa"/>
          </w:tcPr>
          <w:p w14:paraId="304EB4E2" w14:textId="77777777" w:rsidR="007E1E9C" w:rsidRPr="007E1E9C" w:rsidRDefault="007E1E9C" w:rsidP="00BA5D0B">
            <w:pPr>
              <w:spacing w:line="360" w:lineRule="auto"/>
              <w:jc w:val="both"/>
              <w:rPr>
                <w:rFonts w:ascii="Times New Roman" w:hAnsi="Times New Roman" w:cs="Times New Roman"/>
                <w:sz w:val="26"/>
                <w:szCs w:val="26"/>
                <w:lang w:val="vi-VN"/>
              </w:rPr>
            </w:pPr>
            <w:r w:rsidRPr="007E1E9C">
              <w:rPr>
                <w:rFonts w:ascii="Times New Roman" w:hAnsi="Times New Roman" w:cs="Times New Roman"/>
                <w:sz w:val="26"/>
                <w:szCs w:val="26"/>
                <w:lang w:val="vi-VN"/>
              </w:rPr>
              <w:t>Tên chứng chỉ quỹ</w:t>
            </w:r>
          </w:p>
        </w:tc>
        <w:tc>
          <w:tcPr>
            <w:tcW w:w="2977" w:type="dxa"/>
          </w:tcPr>
          <w:p w14:paraId="567DFEF1" w14:textId="77777777" w:rsidR="007E1E9C" w:rsidRPr="007E1E9C" w:rsidRDefault="007E1E9C" w:rsidP="00BA5D0B">
            <w:pPr>
              <w:spacing w:line="360" w:lineRule="auto"/>
              <w:jc w:val="both"/>
              <w:rPr>
                <w:rFonts w:ascii="Times New Roman" w:hAnsi="Times New Roman" w:cs="Times New Roman"/>
                <w:sz w:val="26"/>
                <w:szCs w:val="26"/>
                <w:lang w:val="vi-VN"/>
              </w:rPr>
            </w:pPr>
            <w:r w:rsidRPr="007E1E9C">
              <w:rPr>
                <w:rFonts w:ascii="Times New Roman" w:hAnsi="Times New Roman" w:cs="Times New Roman"/>
                <w:sz w:val="26"/>
                <w:szCs w:val="26"/>
                <w:lang w:val="vi-VN"/>
              </w:rPr>
              <w:t>Đơn vị phát hành</w:t>
            </w:r>
          </w:p>
        </w:tc>
        <w:tc>
          <w:tcPr>
            <w:tcW w:w="2551" w:type="dxa"/>
          </w:tcPr>
          <w:p w14:paraId="3AAA5046" w14:textId="77777777" w:rsidR="007E1E9C" w:rsidRPr="007E1E9C" w:rsidRDefault="007E1E9C" w:rsidP="00BA5D0B">
            <w:pPr>
              <w:spacing w:line="360" w:lineRule="auto"/>
              <w:jc w:val="both"/>
              <w:rPr>
                <w:rFonts w:ascii="Times New Roman" w:hAnsi="Times New Roman" w:cs="Times New Roman"/>
                <w:sz w:val="26"/>
                <w:szCs w:val="26"/>
                <w:lang w:val="vi-VN"/>
              </w:rPr>
            </w:pPr>
            <w:r w:rsidRPr="007E1E9C">
              <w:rPr>
                <w:rFonts w:ascii="Times New Roman" w:hAnsi="Times New Roman" w:cs="Times New Roman"/>
                <w:sz w:val="26"/>
                <w:szCs w:val="26"/>
                <w:lang w:val="vi-VN"/>
              </w:rPr>
              <w:t>LNBQ hằng năm</w:t>
            </w:r>
          </w:p>
        </w:tc>
      </w:tr>
      <w:tr w:rsidR="007E1E9C" w14:paraId="75B56DEE" w14:textId="77777777" w:rsidTr="00BA5D0B">
        <w:tc>
          <w:tcPr>
            <w:tcW w:w="1413" w:type="dxa"/>
          </w:tcPr>
          <w:p w14:paraId="63BDD0D6" w14:textId="77777777" w:rsidR="007E1E9C" w:rsidRPr="007E1E9C" w:rsidRDefault="007E1E9C" w:rsidP="00BA5D0B">
            <w:pPr>
              <w:spacing w:line="360" w:lineRule="auto"/>
              <w:jc w:val="both"/>
              <w:rPr>
                <w:rFonts w:ascii="Times New Roman" w:hAnsi="Times New Roman" w:cs="Times New Roman"/>
                <w:sz w:val="26"/>
                <w:szCs w:val="26"/>
                <w:lang w:val="vi-VN"/>
              </w:rPr>
            </w:pPr>
            <w:r w:rsidRPr="007E1E9C">
              <w:rPr>
                <w:rFonts w:ascii="Times New Roman" w:hAnsi="Times New Roman" w:cs="Times New Roman"/>
                <w:sz w:val="26"/>
                <w:szCs w:val="26"/>
                <w:lang w:val="vi-VN"/>
              </w:rPr>
              <w:t>1</w:t>
            </w:r>
          </w:p>
        </w:tc>
        <w:tc>
          <w:tcPr>
            <w:tcW w:w="2268" w:type="dxa"/>
          </w:tcPr>
          <w:p w14:paraId="040181A8" w14:textId="77777777" w:rsidR="007E1E9C" w:rsidRPr="007E1E9C" w:rsidRDefault="007E1E9C" w:rsidP="00BA5D0B">
            <w:pPr>
              <w:spacing w:line="360" w:lineRule="auto"/>
              <w:rPr>
                <w:sz w:val="26"/>
                <w:szCs w:val="26"/>
              </w:rPr>
            </w:pPr>
            <w:r w:rsidRPr="007E1E9C">
              <w:rPr>
                <w:rFonts w:ascii="Open Sans" w:hAnsi="Open Sans" w:cs="Open Sans"/>
                <w:color w:val="6D7882"/>
                <w:spacing w:val="5"/>
                <w:sz w:val="26"/>
                <w:szCs w:val="26"/>
                <w:shd w:val="clear" w:color="auto" w:fill="F8F8F8"/>
              </w:rPr>
              <w:t>VESAF</w:t>
            </w:r>
          </w:p>
        </w:tc>
        <w:tc>
          <w:tcPr>
            <w:tcW w:w="2977" w:type="dxa"/>
          </w:tcPr>
          <w:p w14:paraId="48D7AA53" w14:textId="77777777" w:rsidR="007E1E9C" w:rsidRPr="007E1E9C" w:rsidRDefault="007E1E9C" w:rsidP="00BA5D0B">
            <w:pPr>
              <w:spacing w:line="360" w:lineRule="auto"/>
              <w:rPr>
                <w:sz w:val="26"/>
                <w:szCs w:val="26"/>
                <w:lang w:val="vi-VN"/>
              </w:rPr>
            </w:pPr>
            <w:r w:rsidRPr="007E1E9C">
              <w:rPr>
                <w:rFonts w:ascii="Open Sans" w:hAnsi="Open Sans" w:cs="Open Sans"/>
                <w:color w:val="6D7882"/>
                <w:spacing w:val="5"/>
                <w:sz w:val="26"/>
                <w:szCs w:val="26"/>
                <w:shd w:val="clear" w:color="auto" w:fill="F8F8F8"/>
              </w:rPr>
              <w:t>VINACAPITA</w:t>
            </w:r>
            <w:r w:rsidRPr="007E1E9C">
              <w:rPr>
                <w:rFonts w:ascii="Open Sans" w:hAnsi="Open Sans" w:cs="Open Sans"/>
                <w:color w:val="6D7882"/>
                <w:spacing w:val="5"/>
                <w:sz w:val="26"/>
                <w:szCs w:val="26"/>
                <w:shd w:val="clear" w:color="auto" w:fill="F8F8F8"/>
                <w:lang w:val="vi-VN"/>
              </w:rPr>
              <w:t>L</w:t>
            </w:r>
          </w:p>
        </w:tc>
        <w:tc>
          <w:tcPr>
            <w:tcW w:w="2551" w:type="dxa"/>
          </w:tcPr>
          <w:p w14:paraId="14AE1702" w14:textId="77777777" w:rsidR="007E1E9C" w:rsidRPr="007E1E9C" w:rsidRDefault="007E1E9C" w:rsidP="00BA5D0B">
            <w:pPr>
              <w:spacing w:line="360" w:lineRule="auto"/>
              <w:jc w:val="center"/>
              <w:rPr>
                <w:sz w:val="26"/>
                <w:szCs w:val="26"/>
              </w:rPr>
            </w:pPr>
            <w:r w:rsidRPr="007E1E9C">
              <w:rPr>
                <w:rStyle w:val="Strong"/>
                <w:rFonts w:ascii="Open Sans" w:hAnsi="Open Sans" w:cs="Open Sans"/>
                <w:b w:val="0"/>
                <w:bCs w:val="0"/>
                <w:color w:val="6D7882"/>
                <w:spacing w:val="5"/>
                <w:sz w:val="26"/>
                <w:szCs w:val="26"/>
              </w:rPr>
              <w:t>26,67%</w:t>
            </w:r>
          </w:p>
        </w:tc>
      </w:tr>
      <w:tr w:rsidR="007E1E9C" w14:paraId="6A70EAC1" w14:textId="77777777" w:rsidTr="00BA5D0B">
        <w:tc>
          <w:tcPr>
            <w:tcW w:w="1413" w:type="dxa"/>
          </w:tcPr>
          <w:p w14:paraId="4C474B3B" w14:textId="77777777" w:rsidR="007E1E9C" w:rsidRPr="007E1E9C" w:rsidRDefault="007E1E9C" w:rsidP="00BA5D0B">
            <w:pPr>
              <w:spacing w:line="360" w:lineRule="auto"/>
              <w:jc w:val="both"/>
              <w:rPr>
                <w:rFonts w:ascii="Times New Roman" w:hAnsi="Times New Roman" w:cs="Times New Roman"/>
                <w:sz w:val="26"/>
                <w:szCs w:val="26"/>
                <w:lang w:val="vi-VN"/>
              </w:rPr>
            </w:pPr>
            <w:r w:rsidRPr="007E1E9C">
              <w:rPr>
                <w:rFonts w:ascii="Times New Roman" w:hAnsi="Times New Roman" w:cs="Times New Roman"/>
                <w:sz w:val="26"/>
                <w:szCs w:val="26"/>
                <w:lang w:val="vi-VN"/>
              </w:rPr>
              <w:t>2</w:t>
            </w:r>
          </w:p>
        </w:tc>
        <w:tc>
          <w:tcPr>
            <w:tcW w:w="2268" w:type="dxa"/>
          </w:tcPr>
          <w:p w14:paraId="661DF55E" w14:textId="77777777" w:rsidR="007E1E9C" w:rsidRPr="007E1E9C" w:rsidRDefault="007E1E9C" w:rsidP="00BA5D0B">
            <w:pPr>
              <w:spacing w:line="360" w:lineRule="auto"/>
              <w:rPr>
                <w:sz w:val="26"/>
                <w:szCs w:val="26"/>
              </w:rPr>
            </w:pPr>
            <w:r w:rsidRPr="007E1E9C">
              <w:rPr>
                <w:rFonts w:ascii="Open Sans" w:hAnsi="Open Sans" w:cs="Open Sans"/>
                <w:color w:val="6D7882"/>
                <w:spacing w:val="5"/>
                <w:sz w:val="26"/>
                <w:szCs w:val="26"/>
                <w:shd w:val="clear" w:color="auto" w:fill="F2F2F2"/>
              </w:rPr>
              <w:t>VEOF</w:t>
            </w:r>
          </w:p>
        </w:tc>
        <w:tc>
          <w:tcPr>
            <w:tcW w:w="2977" w:type="dxa"/>
          </w:tcPr>
          <w:p w14:paraId="265AF64F" w14:textId="77777777" w:rsidR="007E1E9C" w:rsidRPr="007E1E9C" w:rsidRDefault="007E1E9C" w:rsidP="00BA5D0B">
            <w:pPr>
              <w:spacing w:line="360" w:lineRule="auto"/>
              <w:rPr>
                <w:sz w:val="26"/>
                <w:szCs w:val="26"/>
              </w:rPr>
            </w:pPr>
            <w:r w:rsidRPr="007E1E9C">
              <w:rPr>
                <w:rFonts w:ascii="Open Sans" w:hAnsi="Open Sans" w:cs="Open Sans"/>
                <w:color w:val="6D7882"/>
                <w:spacing w:val="5"/>
                <w:sz w:val="26"/>
                <w:szCs w:val="26"/>
                <w:shd w:val="clear" w:color="auto" w:fill="F2F2F2"/>
              </w:rPr>
              <w:t>VINACAPITAL</w:t>
            </w:r>
          </w:p>
        </w:tc>
        <w:tc>
          <w:tcPr>
            <w:tcW w:w="2551" w:type="dxa"/>
          </w:tcPr>
          <w:p w14:paraId="0AA80267" w14:textId="77777777" w:rsidR="007E1E9C" w:rsidRPr="007E1E9C" w:rsidRDefault="007E1E9C" w:rsidP="00BA5D0B">
            <w:pPr>
              <w:spacing w:line="360" w:lineRule="auto"/>
              <w:jc w:val="center"/>
              <w:rPr>
                <w:rFonts w:ascii="Times New Roman" w:hAnsi="Times New Roman" w:cs="Times New Roman"/>
                <w:sz w:val="26"/>
                <w:szCs w:val="26"/>
                <w:lang w:val="vi-VN"/>
              </w:rPr>
            </w:pPr>
            <w:r w:rsidRPr="007E1E9C">
              <w:rPr>
                <w:rStyle w:val="Strong"/>
                <w:rFonts w:ascii="Open Sans" w:hAnsi="Open Sans" w:cs="Open Sans"/>
                <w:b w:val="0"/>
                <w:bCs w:val="0"/>
                <w:color w:val="6D7882"/>
                <w:spacing w:val="5"/>
                <w:sz w:val="26"/>
                <w:szCs w:val="26"/>
              </w:rPr>
              <w:t>19.99%</w:t>
            </w:r>
          </w:p>
        </w:tc>
      </w:tr>
      <w:tr w:rsidR="007E1E9C" w14:paraId="649CFAB3" w14:textId="77777777" w:rsidTr="00BA5D0B">
        <w:tc>
          <w:tcPr>
            <w:tcW w:w="1413" w:type="dxa"/>
          </w:tcPr>
          <w:p w14:paraId="08EAD6F1" w14:textId="77777777" w:rsidR="007E1E9C" w:rsidRPr="007E1E9C" w:rsidRDefault="007E1E9C" w:rsidP="00BA5D0B">
            <w:pPr>
              <w:spacing w:line="360" w:lineRule="auto"/>
              <w:jc w:val="both"/>
              <w:rPr>
                <w:rFonts w:ascii="Times New Roman" w:hAnsi="Times New Roman" w:cs="Times New Roman"/>
                <w:sz w:val="26"/>
                <w:szCs w:val="26"/>
                <w:lang w:val="vi-VN"/>
              </w:rPr>
            </w:pPr>
            <w:r w:rsidRPr="007E1E9C">
              <w:rPr>
                <w:rFonts w:ascii="Times New Roman" w:hAnsi="Times New Roman" w:cs="Times New Roman"/>
                <w:sz w:val="26"/>
                <w:szCs w:val="26"/>
                <w:lang w:val="vi-VN"/>
              </w:rPr>
              <w:t>3</w:t>
            </w:r>
          </w:p>
        </w:tc>
        <w:tc>
          <w:tcPr>
            <w:tcW w:w="2268" w:type="dxa"/>
          </w:tcPr>
          <w:p w14:paraId="34449373" w14:textId="77777777" w:rsidR="007E1E9C" w:rsidRPr="007E1E9C" w:rsidRDefault="007E1E9C" w:rsidP="00BA5D0B">
            <w:pPr>
              <w:spacing w:line="360" w:lineRule="auto"/>
              <w:rPr>
                <w:sz w:val="26"/>
                <w:szCs w:val="26"/>
              </w:rPr>
            </w:pPr>
            <w:r w:rsidRPr="007E1E9C">
              <w:rPr>
                <w:rFonts w:ascii="Open Sans" w:hAnsi="Open Sans" w:cs="Open Sans"/>
                <w:color w:val="6D7882"/>
                <w:spacing w:val="5"/>
                <w:sz w:val="26"/>
                <w:szCs w:val="26"/>
                <w:shd w:val="clear" w:color="auto" w:fill="F8F8F8"/>
              </w:rPr>
              <w:t>VCBF-BCF</w:t>
            </w:r>
          </w:p>
        </w:tc>
        <w:tc>
          <w:tcPr>
            <w:tcW w:w="2977" w:type="dxa"/>
          </w:tcPr>
          <w:p w14:paraId="45D96996" w14:textId="77777777" w:rsidR="007E1E9C" w:rsidRPr="007E1E9C" w:rsidRDefault="007E1E9C" w:rsidP="00BA5D0B">
            <w:pPr>
              <w:spacing w:line="360" w:lineRule="auto"/>
              <w:rPr>
                <w:sz w:val="26"/>
                <w:szCs w:val="26"/>
              </w:rPr>
            </w:pPr>
            <w:r w:rsidRPr="007E1E9C">
              <w:rPr>
                <w:rFonts w:ascii="Open Sans" w:hAnsi="Open Sans" w:cs="Open Sans"/>
                <w:color w:val="6D7882"/>
                <w:spacing w:val="5"/>
                <w:sz w:val="26"/>
                <w:szCs w:val="26"/>
                <w:shd w:val="clear" w:color="auto" w:fill="F8F8F8"/>
                <w:lang w:val="vi-VN"/>
              </w:rPr>
              <w:t>V</w:t>
            </w:r>
            <w:r w:rsidRPr="007E1E9C">
              <w:rPr>
                <w:rFonts w:ascii="Open Sans" w:hAnsi="Open Sans" w:cs="Open Sans"/>
                <w:color w:val="6D7882"/>
                <w:spacing w:val="5"/>
                <w:sz w:val="26"/>
                <w:szCs w:val="26"/>
                <w:shd w:val="clear" w:color="auto" w:fill="F8F8F8"/>
              </w:rPr>
              <w:t>IETCOMBANK FUND</w:t>
            </w:r>
          </w:p>
        </w:tc>
        <w:tc>
          <w:tcPr>
            <w:tcW w:w="2551" w:type="dxa"/>
          </w:tcPr>
          <w:p w14:paraId="40B46BEB" w14:textId="77777777" w:rsidR="007E1E9C" w:rsidRPr="007E1E9C" w:rsidRDefault="007E1E9C" w:rsidP="00BA5D0B">
            <w:pPr>
              <w:spacing w:line="360" w:lineRule="auto"/>
              <w:jc w:val="center"/>
              <w:rPr>
                <w:sz w:val="26"/>
                <w:szCs w:val="26"/>
              </w:rPr>
            </w:pPr>
            <w:r w:rsidRPr="007E1E9C">
              <w:rPr>
                <w:rFonts w:ascii="Open Sans" w:hAnsi="Open Sans" w:cs="Open Sans"/>
                <w:color w:val="6D7882"/>
                <w:spacing w:val="5"/>
                <w:sz w:val="26"/>
                <w:szCs w:val="26"/>
                <w:shd w:val="clear" w:color="auto" w:fill="F8F8F8"/>
              </w:rPr>
              <w:t>17.44%</w:t>
            </w:r>
          </w:p>
        </w:tc>
      </w:tr>
      <w:tr w:rsidR="007E1E9C" w14:paraId="43F4FFCA" w14:textId="77777777" w:rsidTr="00BA5D0B">
        <w:tc>
          <w:tcPr>
            <w:tcW w:w="1413" w:type="dxa"/>
          </w:tcPr>
          <w:p w14:paraId="754A872E" w14:textId="77777777" w:rsidR="007E1E9C" w:rsidRPr="007E1E9C" w:rsidRDefault="007E1E9C" w:rsidP="00BA5D0B">
            <w:pPr>
              <w:spacing w:line="360" w:lineRule="auto"/>
              <w:jc w:val="both"/>
              <w:rPr>
                <w:rFonts w:ascii="Times New Roman" w:hAnsi="Times New Roman" w:cs="Times New Roman"/>
                <w:sz w:val="26"/>
                <w:szCs w:val="26"/>
                <w:lang w:val="vi-VN"/>
              </w:rPr>
            </w:pPr>
            <w:r w:rsidRPr="007E1E9C">
              <w:rPr>
                <w:rFonts w:ascii="Times New Roman" w:hAnsi="Times New Roman" w:cs="Times New Roman"/>
                <w:sz w:val="26"/>
                <w:szCs w:val="26"/>
                <w:lang w:val="vi-VN"/>
              </w:rPr>
              <w:t>4</w:t>
            </w:r>
          </w:p>
        </w:tc>
        <w:tc>
          <w:tcPr>
            <w:tcW w:w="2268" w:type="dxa"/>
          </w:tcPr>
          <w:p w14:paraId="4730EDF7" w14:textId="77777777" w:rsidR="007E1E9C" w:rsidRPr="007E1E9C" w:rsidRDefault="007E1E9C" w:rsidP="00BA5D0B">
            <w:pPr>
              <w:spacing w:line="360" w:lineRule="auto"/>
              <w:rPr>
                <w:sz w:val="26"/>
                <w:szCs w:val="26"/>
              </w:rPr>
            </w:pPr>
            <w:r w:rsidRPr="007E1E9C">
              <w:rPr>
                <w:rFonts w:ascii="Open Sans" w:hAnsi="Open Sans" w:cs="Open Sans"/>
                <w:color w:val="6D7882"/>
                <w:spacing w:val="5"/>
                <w:sz w:val="26"/>
                <w:szCs w:val="26"/>
                <w:shd w:val="clear" w:color="auto" w:fill="F2F2F2"/>
              </w:rPr>
              <w:t>SSISCA</w:t>
            </w:r>
          </w:p>
        </w:tc>
        <w:tc>
          <w:tcPr>
            <w:tcW w:w="2977" w:type="dxa"/>
          </w:tcPr>
          <w:p w14:paraId="3B25F91E" w14:textId="77777777" w:rsidR="007E1E9C" w:rsidRPr="007E1E9C" w:rsidRDefault="007E1E9C" w:rsidP="00BA5D0B">
            <w:pPr>
              <w:spacing w:line="360" w:lineRule="auto"/>
              <w:rPr>
                <w:sz w:val="26"/>
                <w:szCs w:val="26"/>
              </w:rPr>
            </w:pPr>
            <w:r w:rsidRPr="007E1E9C">
              <w:rPr>
                <w:rFonts w:ascii="Open Sans" w:hAnsi="Open Sans" w:cs="Open Sans"/>
                <w:color w:val="6D7882"/>
                <w:spacing w:val="5"/>
                <w:sz w:val="26"/>
                <w:szCs w:val="26"/>
                <w:shd w:val="clear" w:color="auto" w:fill="F2F2F2"/>
              </w:rPr>
              <w:t>SSIAM</w:t>
            </w:r>
          </w:p>
        </w:tc>
        <w:tc>
          <w:tcPr>
            <w:tcW w:w="2551" w:type="dxa"/>
          </w:tcPr>
          <w:p w14:paraId="3AD2CC51" w14:textId="77777777" w:rsidR="007E1E9C" w:rsidRPr="007E1E9C" w:rsidRDefault="007E1E9C" w:rsidP="00BA5D0B">
            <w:pPr>
              <w:spacing w:line="360" w:lineRule="auto"/>
              <w:jc w:val="center"/>
              <w:rPr>
                <w:sz w:val="26"/>
                <w:szCs w:val="26"/>
              </w:rPr>
            </w:pPr>
            <w:r w:rsidRPr="007E1E9C">
              <w:rPr>
                <w:rFonts w:ascii="Open Sans" w:hAnsi="Open Sans" w:cs="Open Sans"/>
                <w:color w:val="6D7882"/>
                <w:spacing w:val="5"/>
                <w:sz w:val="26"/>
                <w:szCs w:val="26"/>
                <w:shd w:val="clear" w:color="auto" w:fill="F2F2F2"/>
              </w:rPr>
              <w:t>16.97%</w:t>
            </w:r>
          </w:p>
        </w:tc>
      </w:tr>
      <w:tr w:rsidR="007E1E9C" w14:paraId="0E396CC5" w14:textId="77777777" w:rsidTr="00BA5D0B">
        <w:tc>
          <w:tcPr>
            <w:tcW w:w="1413" w:type="dxa"/>
          </w:tcPr>
          <w:p w14:paraId="2905C359" w14:textId="77777777" w:rsidR="007E1E9C" w:rsidRPr="007E1E9C" w:rsidRDefault="007E1E9C" w:rsidP="00BA5D0B">
            <w:pPr>
              <w:spacing w:line="360" w:lineRule="auto"/>
              <w:jc w:val="both"/>
              <w:rPr>
                <w:rFonts w:ascii="Times New Roman" w:hAnsi="Times New Roman" w:cs="Times New Roman"/>
                <w:sz w:val="26"/>
                <w:szCs w:val="26"/>
                <w:lang w:val="vi-VN"/>
              </w:rPr>
            </w:pPr>
            <w:r w:rsidRPr="007E1E9C">
              <w:rPr>
                <w:rFonts w:ascii="Times New Roman" w:hAnsi="Times New Roman" w:cs="Times New Roman"/>
                <w:sz w:val="26"/>
                <w:szCs w:val="26"/>
                <w:lang w:val="vi-VN"/>
              </w:rPr>
              <w:t>5</w:t>
            </w:r>
          </w:p>
        </w:tc>
        <w:tc>
          <w:tcPr>
            <w:tcW w:w="2268" w:type="dxa"/>
          </w:tcPr>
          <w:p w14:paraId="5D23F470" w14:textId="77777777" w:rsidR="007E1E9C" w:rsidRPr="007E1E9C" w:rsidRDefault="007E1E9C" w:rsidP="00BA5D0B">
            <w:pPr>
              <w:spacing w:line="360" w:lineRule="auto"/>
            </w:pPr>
            <w:r w:rsidRPr="007E1E9C">
              <w:rPr>
                <w:rFonts w:ascii="Open Sans" w:hAnsi="Open Sans" w:cs="Open Sans"/>
                <w:color w:val="6D7882"/>
                <w:spacing w:val="5"/>
                <w:sz w:val="21"/>
                <w:szCs w:val="21"/>
                <w:shd w:val="clear" w:color="auto" w:fill="F8F8F8"/>
              </w:rPr>
              <w:t>VNDAF</w:t>
            </w:r>
          </w:p>
        </w:tc>
        <w:tc>
          <w:tcPr>
            <w:tcW w:w="2977" w:type="dxa"/>
          </w:tcPr>
          <w:p w14:paraId="476554FD" w14:textId="77777777" w:rsidR="007E1E9C" w:rsidRPr="007E1E9C" w:rsidRDefault="007E1E9C" w:rsidP="00BA5D0B">
            <w:pPr>
              <w:spacing w:line="360" w:lineRule="auto"/>
            </w:pPr>
            <w:r w:rsidRPr="007E1E9C">
              <w:rPr>
                <w:rFonts w:ascii="Open Sans" w:hAnsi="Open Sans" w:cs="Open Sans"/>
                <w:color w:val="6D7882"/>
                <w:spacing w:val="5"/>
                <w:sz w:val="21"/>
                <w:szCs w:val="21"/>
                <w:shd w:val="clear" w:color="auto" w:fill="F8F8F8"/>
              </w:rPr>
              <w:t>IPAAM</w:t>
            </w:r>
          </w:p>
        </w:tc>
        <w:tc>
          <w:tcPr>
            <w:tcW w:w="2551" w:type="dxa"/>
          </w:tcPr>
          <w:p w14:paraId="157A41C2" w14:textId="77777777" w:rsidR="007E1E9C" w:rsidRPr="007E1E9C" w:rsidRDefault="007E1E9C" w:rsidP="00BA5D0B">
            <w:pPr>
              <w:spacing w:line="360" w:lineRule="auto"/>
              <w:jc w:val="center"/>
            </w:pPr>
            <w:r w:rsidRPr="007E1E9C">
              <w:rPr>
                <w:rFonts w:ascii="Open Sans" w:hAnsi="Open Sans" w:cs="Open Sans"/>
                <w:color w:val="6D7882"/>
                <w:spacing w:val="5"/>
                <w:sz w:val="21"/>
                <w:szCs w:val="21"/>
                <w:shd w:val="clear" w:color="auto" w:fill="F8F8F8"/>
              </w:rPr>
              <w:t>16.57%</w:t>
            </w:r>
          </w:p>
        </w:tc>
      </w:tr>
    </w:tbl>
    <w:p w14:paraId="3F92243C" w14:textId="3CD21A08" w:rsidR="00BA5D0B" w:rsidRDefault="00BB2197" w:rsidP="00BA5D0B">
      <w:pPr>
        <w:spacing w:line="360" w:lineRule="auto"/>
        <w:jc w:val="both"/>
        <w:rPr>
          <w:rFonts w:ascii="Open Sans" w:eastAsia="Times New Roman" w:hAnsi="Open Sans" w:cs="Open Sans"/>
          <w:i/>
          <w:iCs/>
          <w:color w:val="868686"/>
          <w:spacing w:val="5"/>
          <w:sz w:val="23"/>
          <w:szCs w:val="23"/>
        </w:rPr>
      </w:pPr>
      <w:r>
        <w:rPr>
          <w:rFonts w:ascii="Open Sans" w:eastAsia="Times New Roman" w:hAnsi="Open Sans" w:cs="Open Sans"/>
          <w:i/>
          <w:iCs/>
          <w:color w:val="868686"/>
          <w:spacing w:val="5"/>
          <w:sz w:val="23"/>
          <w:szCs w:val="23"/>
          <w:lang w:val="vi-VN"/>
        </w:rPr>
        <w:t xml:space="preserve">       </w:t>
      </w:r>
      <w:r w:rsidR="007E1E9C" w:rsidRPr="00D73C85">
        <w:rPr>
          <w:rFonts w:ascii="Open Sans" w:eastAsia="Times New Roman" w:hAnsi="Open Sans" w:cs="Open Sans"/>
          <w:i/>
          <w:iCs/>
          <w:color w:val="868686"/>
          <w:spacing w:val="5"/>
          <w:sz w:val="23"/>
          <w:szCs w:val="23"/>
        </w:rPr>
        <w:t>Bảng xếp hạng các chứng chỉ quỹ (dựa trên lợi nhuận hàng năm trong 3 năm gần nhất)</w:t>
      </w:r>
      <w:r w:rsidR="00BA5D0B">
        <w:rPr>
          <w:rFonts w:ascii="Open Sans" w:eastAsia="Times New Roman" w:hAnsi="Open Sans" w:cs="Open Sans"/>
          <w:i/>
          <w:iCs/>
          <w:color w:val="868686"/>
          <w:spacing w:val="5"/>
          <w:sz w:val="23"/>
          <w:szCs w:val="23"/>
        </w:rPr>
        <w:t xml:space="preserve">. </w:t>
      </w:r>
    </w:p>
    <w:p w14:paraId="46501DBE" w14:textId="1155BCED" w:rsidR="0022061A" w:rsidRPr="00D73C85" w:rsidRDefault="00BA5D0B" w:rsidP="00BA5D0B">
      <w:pPr>
        <w:spacing w:line="360" w:lineRule="auto"/>
        <w:jc w:val="both"/>
        <w:rPr>
          <w:rFonts w:ascii="Times New Roman" w:hAnsi="Times New Roman" w:cs="Times New Roman"/>
          <w:sz w:val="26"/>
          <w:szCs w:val="26"/>
          <w:lang w:val="vi-VN"/>
        </w:rPr>
      </w:pPr>
      <w:r>
        <w:rPr>
          <w:rFonts w:ascii="Open Sans" w:eastAsia="Times New Roman" w:hAnsi="Open Sans" w:cs="Open Sans"/>
          <w:i/>
          <w:iCs/>
          <w:color w:val="868686"/>
          <w:spacing w:val="5"/>
          <w:sz w:val="23"/>
          <w:szCs w:val="23"/>
          <w:lang w:val="vi-VN"/>
        </w:rPr>
        <w:t xml:space="preserve">          </w:t>
      </w:r>
      <w:r w:rsidR="007E1E9C" w:rsidRPr="00D73C85">
        <w:rPr>
          <w:rFonts w:ascii="Open Sans" w:eastAsia="Times New Roman" w:hAnsi="Open Sans" w:cs="Open Sans"/>
          <w:i/>
          <w:iCs/>
          <w:color w:val="868686"/>
          <w:spacing w:val="5"/>
          <w:sz w:val="23"/>
          <w:szCs w:val="23"/>
        </w:rPr>
        <w:t>– Số liệu được cập nhật đến ngày 17/05/2023 – Nguồn Fmarket.</w:t>
      </w:r>
    </w:p>
    <w:sectPr w:rsidR="0022061A" w:rsidRPr="00D73C85" w:rsidSect="00BB2197">
      <w:pgSz w:w="12240" w:h="15840"/>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56E1B"/>
    <w:multiLevelType w:val="multilevel"/>
    <w:tmpl w:val="AF54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D12879"/>
    <w:multiLevelType w:val="multilevel"/>
    <w:tmpl w:val="A4C0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8356128">
    <w:abstractNumId w:val="1"/>
  </w:num>
  <w:num w:numId="2" w16cid:durableId="883712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1A"/>
    <w:rsid w:val="0022061A"/>
    <w:rsid w:val="003F567F"/>
    <w:rsid w:val="005B6773"/>
    <w:rsid w:val="007E1E9C"/>
    <w:rsid w:val="008D086D"/>
    <w:rsid w:val="00BA5D0B"/>
    <w:rsid w:val="00BB2197"/>
    <w:rsid w:val="00D73C85"/>
    <w:rsid w:val="00E44BA2"/>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EA97669"/>
  <w15:chartTrackingRefBased/>
  <w15:docId w15:val="{EC76CD60-641B-D447-BB22-B0259EE33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2061A"/>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2061A"/>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2061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2061A"/>
    <w:rPr>
      <w:rFonts w:ascii="Times New Roman" w:eastAsia="Times New Roman" w:hAnsi="Times New Roman" w:cs="Times New Roman"/>
      <w:b/>
      <w:bCs/>
    </w:rPr>
  </w:style>
  <w:style w:type="paragraph" w:styleId="NormalWeb">
    <w:name w:val="Normal (Web)"/>
    <w:basedOn w:val="Normal"/>
    <w:uiPriority w:val="99"/>
    <w:semiHidden/>
    <w:unhideWhenUsed/>
    <w:rsid w:val="0022061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2061A"/>
    <w:rPr>
      <w:b/>
      <w:bCs/>
    </w:rPr>
  </w:style>
  <w:style w:type="character" w:customStyle="1" w:styleId="apple-converted-space">
    <w:name w:val="apple-converted-space"/>
    <w:basedOn w:val="DefaultParagraphFont"/>
    <w:rsid w:val="0022061A"/>
  </w:style>
  <w:style w:type="paragraph" w:styleId="ListParagraph">
    <w:name w:val="List Paragraph"/>
    <w:basedOn w:val="Normal"/>
    <w:uiPriority w:val="34"/>
    <w:qFormat/>
    <w:rsid w:val="005B6773"/>
    <w:pPr>
      <w:ind w:left="720"/>
      <w:contextualSpacing/>
    </w:pPr>
  </w:style>
  <w:style w:type="character" w:customStyle="1" w:styleId="data-table-header-text">
    <w:name w:val="data-table-header-text"/>
    <w:basedOn w:val="DefaultParagraphFont"/>
    <w:rsid w:val="00D73C85"/>
  </w:style>
  <w:style w:type="table" w:styleId="TableGrid">
    <w:name w:val="Table Grid"/>
    <w:basedOn w:val="TableNormal"/>
    <w:uiPriority w:val="39"/>
    <w:rsid w:val="007E1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08775">
      <w:bodyDiv w:val="1"/>
      <w:marLeft w:val="0"/>
      <w:marRight w:val="0"/>
      <w:marTop w:val="0"/>
      <w:marBottom w:val="0"/>
      <w:divBdr>
        <w:top w:val="none" w:sz="0" w:space="0" w:color="auto"/>
        <w:left w:val="none" w:sz="0" w:space="0" w:color="auto"/>
        <w:bottom w:val="none" w:sz="0" w:space="0" w:color="auto"/>
        <w:right w:val="none" w:sz="0" w:space="0" w:color="auto"/>
      </w:divBdr>
    </w:div>
    <w:div w:id="115754029">
      <w:bodyDiv w:val="1"/>
      <w:marLeft w:val="0"/>
      <w:marRight w:val="0"/>
      <w:marTop w:val="0"/>
      <w:marBottom w:val="0"/>
      <w:divBdr>
        <w:top w:val="none" w:sz="0" w:space="0" w:color="auto"/>
        <w:left w:val="none" w:sz="0" w:space="0" w:color="auto"/>
        <w:bottom w:val="none" w:sz="0" w:space="0" w:color="auto"/>
        <w:right w:val="none" w:sz="0" w:space="0" w:color="auto"/>
      </w:divBdr>
    </w:div>
    <w:div w:id="190608013">
      <w:bodyDiv w:val="1"/>
      <w:marLeft w:val="0"/>
      <w:marRight w:val="0"/>
      <w:marTop w:val="0"/>
      <w:marBottom w:val="0"/>
      <w:divBdr>
        <w:top w:val="none" w:sz="0" w:space="0" w:color="auto"/>
        <w:left w:val="none" w:sz="0" w:space="0" w:color="auto"/>
        <w:bottom w:val="none" w:sz="0" w:space="0" w:color="auto"/>
        <w:right w:val="none" w:sz="0" w:space="0" w:color="auto"/>
      </w:divBdr>
    </w:div>
    <w:div w:id="259487828">
      <w:bodyDiv w:val="1"/>
      <w:marLeft w:val="0"/>
      <w:marRight w:val="0"/>
      <w:marTop w:val="0"/>
      <w:marBottom w:val="0"/>
      <w:divBdr>
        <w:top w:val="none" w:sz="0" w:space="0" w:color="auto"/>
        <w:left w:val="none" w:sz="0" w:space="0" w:color="auto"/>
        <w:bottom w:val="none" w:sz="0" w:space="0" w:color="auto"/>
        <w:right w:val="none" w:sz="0" w:space="0" w:color="auto"/>
      </w:divBdr>
    </w:div>
    <w:div w:id="282347150">
      <w:bodyDiv w:val="1"/>
      <w:marLeft w:val="0"/>
      <w:marRight w:val="0"/>
      <w:marTop w:val="0"/>
      <w:marBottom w:val="0"/>
      <w:divBdr>
        <w:top w:val="none" w:sz="0" w:space="0" w:color="auto"/>
        <w:left w:val="none" w:sz="0" w:space="0" w:color="auto"/>
        <w:bottom w:val="none" w:sz="0" w:space="0" w:color="auto"/>
        <w:right w:val="none" w:sz="0" w:space="0" w:color="auto"/>
      </w:divBdr>
    </w:div>
    <w:div w:id="286552150">
      <w:bodyDiv w:val="1"/>
      <w:marLeft w:val="0"/>
      <w:marRight w:val="0"/>
      <w:marTop w:val="0"/>
      <w:marBottom w:val="0"/>
      <w:divBdr>
        <w:top w:val="none" w:sz="0" w:space="0" w:color="auto"/>
        <w:left w:val="none" w:sz="0" w:space="0" w:color="auto"/>
        <w:bottom w:val="none" w:sz="0" w:space="0" w:color="auto"/>
        <w:right w:val="none" w:sz="0" w:space="0" w:color="auto"/>
      </w:divBdr>
    </w:div>
    <w:div w:id="348994643">
      <w:bodyDiv w:val="1"/>
      <w:marLeft w:val="0"/>
      <w:marRight w:val="0"/>
      <w:marTop w:val="0"/>
      <w:marBottom w:val="0"/>
      <w:divBdr>
        <w:top w:val="none" w:sz="0" w:space="0" w:color="auto"/>
        <w:left w:val="none" w:sz="0" w:space="0" w:color="auto"/>
        <w:bottom w:val="none" w:sz="0" w:space="0" w:color="auto"/>
        <w:right w:val="none" w:sz="0" w:space="0" w:color="auto"/>
      </w:divBdr>
    </w:div>
    <w:div w:id="485633396">
      <w:bodyDiv w:val="1"/>
      <w:marLeft w:val="0"/>
      <w:marRight w:val="0"/>
      <w:marTop w:val="0"/>
      <w:marBottom w:val="0"/>
      <w:divBdr>
        <w:top w:val="none" w:sz="0" w:space="0" w:color="auto"/>
        <w:left w:val="none" w:sz="0" w:space="0" w:color="auto"/>
        <w:bottom w:val="none" w:sz="0" w:space="0" w:color="auto"/>
        <w:right w:val="none" w:sz="0" w:space="0" w:color="auto"/>
      </w:divBdr>
    </w:div>
    <w:div w:id="562986374">
      <w:bodyDiv w:val="1"/>
      <w:marLeft w:val="0"/>
      <w:marRight w:val="0"/>
      <w:marTop w:val="0"/>
      <w:marBottom w:val="0"/>
      <w:divBdr>
        <w:top w:val="none" w:sz="0" w:space="0" w:color="auto"/>
        <w:left w:val="none" w:sz="0" w:space="0" w:color="auto"/>
        <w:bottom w:val="none" w:sz="0" w:space="0" w:color="auto"/>
        <w:right w:val="none" w:sz="0" w:space="0" w:color="auto"/>
      </w:divBdr>
    </w:div>
    <w:div w:id="605574824">
      <w:bodyDiv w:val="1"/>
      <w:marLeft w:val="0"/>
      <w:marRight w:val="0"/>
      <w:marTop w:val="0"/>
      <w:marBottom w:val="0"/>
      <w:divBdr>
        <w:top w:val="none" w:sz="0" w:space="0" w:color="auto"/>
        <w:left w:val="none" w:sz="0" w:space="0" w:color="auto"/>
        <w:bottom w:val="none" w:sz="0" w:space="0" w:color="auto"/>
        <w:right w:val="none" w:sz="0" w:space="0" w:color="auto"/>
      </w:divBdr>
    </w:div>
    <w:div w:id="640160894">
      <w:bodyDiv w:val="1"/>
      <w:marLeft w:val="0"/>
      <w:marRight w:val="0"/>
      <w:marTop w:val="0"/>
      <w:marBottom w:val="0"/>
      <w:divBdr>
        <w:top w:val="none" w:sz="0" w:space="0" w:color="auto"/>
        <w:left w:val="none" w:sz="0" w:space="0" w:color="auto"/>
        <w:bottom w:val="none" w:sz="0" w:space="0" w:color="auto"/>
        <w:right w:val="none" w:sz="0" w:space="0" w:color="auto"/>
      </w:divBdr>
    </w:div>
    <w:div w:id="781725701">
      <w:bodyDiv w:val="1"/>
      <w:marLeft w:val="0"/>
      <w:marRight w:val="0"/>
      <w:marTop w:val="0"/>
      <w:marBottom w:val="0"/>
      <w:divBdr>
        <w:top w:val="none" w:sz="0" w:space="0" w:color="auto"/>
        <w:left w:val="none" w:sz="0" w:space="0" w:color="auto"/>
        <w:bottom w:val="none" w:sz="0" w:space="0" w:color="auto"/>
        <w:right w:val="none" w:sz="0" w:space="0" w:color="auto"/>
      </w:divBdr>
    </w:div>
    <w:div w:id="825781563">
      <w:bodyDiv w:val="1"/>
      <w:marLeft w:val="0"/>
      <w:marRight w:val="0"/>
      <w:marTop w:val="0"/>
      <w:marBottom w:val="0"/>
      <w:divBdr>
        <w:top w:val="none" w:sz="0" w:space="0" w:color="auto"/>
        <w:left w:val="none" w:sz="0" w:space="0" w:color="auto"/>
        <w:bottom w:val="none" w:sz="0" w:space="0" w:color="auto"/>
        <w:right w:val="none" w:sz="0" w:space="0" w:color="auto"/>
      </w:divBdr>
    </w:div>
    <w:div w:id="1037971138">
      <w:bodyDiv w:val="1"/>
      <w:marLeft w:val="0"/>
      <w:marRight w:val="0"/>
      <w:marTop w:val="0"/>
      <w:marBottom w:val="0"/>
      <w:divBdr>
        <w:top w:val="none" w:sz="0" w:space="0" w:color="auto"/>
        <w:left w:val="none" w:sz="0" w:space="0" w:color="auto"/>
        <w:bottom w:val="none" w:sz="0" w:space="0" w:color="auto"/>
        <w:right w:val="none" w:sz="0" w:space="0" w:color="auto"/>
      </w:divBdr>
    </w:div>
    <w:div w:id="1119571606">
      <w:bodyDiv w:val="1"/>
      <w:marLeft w:val="0"/>
      <w:marRight w:val="0"/>
      <w:marTop w:val="0"/>
      <w:marBottom w:val="0"/>
      <w:divBdr>
        <w:top w:val="none" w:sz="0" w:space="0" w:color="auto"/>
        <w:left w:val="none" w:sz="0" w:space="0" w:color="auto"/>
        <w:bottom w:val="none" w:sz="0" w:space="0" w:color="auto"/>
        <w:right w:val="none" w:sz="0" w:space="0" w:color="auto"/>
      </w:divBdr>
    </w:div>
    <w:div w:id="1121531926">
      <w:bodyDiv w:val="1"/>
      <w:marLeft w:val="0"/>
      <w:marRight w:val="0"/>
      <w:marTop w:val="0"/>
      <w:marBottom w:val="0"/>
      <w:divBdr>
        <w:top w:val="none" w:sz="0" w:space="0" w:color="auto"/>
        <w:left w:val="none" w:sz="0" w:space="0" w:color="auto"/>
        <w:bottom w:val="none" w:sz="0" w:space="0" w:color="auto"/>
        <w:right w:val="none" w:sz="0" w:space="0" w:color="auto"/>
      </w:divBdr>
    </w:div>
    <w:div w:id="1165897020">
      <w:bodyDiv w:val="1"/>
      <w:marLeft w:val="0"/>
      <w:marRight w:val="0"/>
      <w:marTop w:val="0"/>
      <w:marBottom w:val="0"/>
      <w:divBdr>
        <w:top w:val="none" w:sz="0" w:space="0" w:color="auto"/>
        <w:left w:val="none" w:sz="0" w:space="0" w:color="auto"/>
        <w:bottom w:val="none" w:sz="0" w:space="0" w:color="auto"/>
        <w:right w:val="none" w:sz="0" w:space="0" w:color="auto"/>
      </w:divBdr>
    </w:div>
    <w:div w:id="1187328465">
      <w:bodyDiv w:val="1"/>
      <w:marLeft w:val="0"/>
      <w:marRight w:val="0"/>
      <w:marTop w:val="0"/>
      <w:marBottom w:val="0"/>
      <w:divBdr>
        <w:top w:val="none" w:sz="0" w:space="0" w:color="auto"/>
        <w:left w:val="none" w:sz="0" w:space="0" w:color="auto"/>
        <w:bottom w:val="none" w:sz="0" w:space="0" w:color="auto"/>
        <w:right w:val="none" w:sz="0" w:space="0" w:color="auto"/>
      </w:divBdr>
    </w:div>
    <w:div w:id="1192916222">
      <w:bodyDiv w:val="1"/>
      <w:marLeft w:val="0"/>
      <w:marRight w:val="0"/>
      <w:marTop w:val="0"/>
      <w:marBottom w:val="0"/>
      <w:divBdr>
        <w:top w:val="none" w:sz="0" w:space="0" w:color="auto"/>
        <w:left w:val="none" w:sz="0" w:space="0" w:color="auto"/>
        <w:bottom w:val="none" w:sz="0" w:space="0" w:color="auto"/>
        <w:right w:val="none" w:sz="0" w:space="0" w:color="auto"/>
      </w:divBdr>
    </w:div>
    <w:div w:id="1476608111">
      <w:bodyDiv w:val="1"/>
      <w:marLeft w:val="0"/>
      <w:marRight w:val="0"/>
      <w:marTop w:val="0"/>
      <w:marBottom w:val="0"/>
      <w:divBdr>
        <w:top w:val="none" w:sz="0" w:space="0" w:color="auto"/>
        <w:left w:val="none" w:sz="0" w:space="0" w:color="auto"/>
        <w:bottom w:val="none" w:sz="0" w:space="0" w:color="auto"/>
        <w:right w:val="none" w:sz="0" w:space="0" w:color="auto"/>
      </w:divBdr>
    </w:div>
    <w:div w:id="1515608893">
      <w:bodyDiv w:val="1"/>
      <w:marLeft w:val="0"/>
      <w:marRight w:val="0"/>
      <w:marTop w:val="0"/>
      <w:marBottom w:val="0"/>
      <w:divBdr>
        <w:top w:val="none" w:sz="0" w:space="0" w:color="auto"/>
        <w:left w:val="none" w:sz="0" w:space="0" w:color="auto"/>
        <w:bottom w:val="none" w:sz="0" w:space="0" w:color="auto"/>
        <w:right w:val="none" w:sz="0" w:space="0" w:color="auto"/>
      </w:divBdr>
    </w:div>
    <w:div w:id="1592397342">
      <w:bodyDiv w:val="1"/>
      <w:marLeft w:val="0"/>
      <w:marRight w:val="0"/>
      <w:marTop w:val="0"/>
      <w:marBottom w:val="0"/>
      <w:divBdr>
        <w:top w:val="none" w:sz="0" w:space="0" w:color="auto"/>
        <w:left w:val="none" w:sz="0" w:space="0" w:color="auto"/>
        <w:bottom w:val="none" w:sz="0" w:space="0" w:color="auto"/>
        <w:right w:val="none" w:sz="0" w:space="0" w:color="auto"/>
      </w:divBdr>
    </w:div>
    <w:div w:id="1641808887">
      <w:bodyDiv w:val="1"/>
      <w:marLeft w:val="0"/>
      <w:marRight w:val="0"/>
      <w:marTop w:val="0"/>
      <w:marBottom w:val="0"/>
      <w:divBdr>
        <w:top w:val="none" w:sz="0" w:space="0" w:color="auto"/>
        <w:left w:val="none" w:sz="0" w:space="0" w:color="auto"/>
        <w:bottom w:val="none" w:sz="0" w:space="0" w:color="auto"/>
        <w:right w:val="none" w:sz="0" w:space="0" w:color="auto"/>
      </w:divBdr>
      <w:divsChild>
        <w:div w:id="1683973565">
          <w:marLeft w:val="0"/>
          <w:marRight w:val="0"/>
          <w:marTop w:val="0"/>
          <w:marBottom w:val="0"/>
          <w:divBdr>
            <w:top w:val="none" w:sz="0" w:space="0" w:color="auto"/>
            <w:left w:val="none" w:sz="0" w:space="0" w:color="auto"/>
            <w:bottom w:val="none" w:sz="0" w:space="0" w:color="auto"/>
            <w:right w:val="none" w:sz="0" w:space="0" w:color="auto"/>
          </w:divBdr>
          <w:divsChild>
            <w:div w:id="11347706">
              <w:marLeft w:val="0"/>
              <w:marRight w:val="0"/>
              <w:marTop w:val="120"/>
              <w:marBottom w:val="0"/>
              <w:divBdr>
                <w:top w:val="none" w:sz="0" w:space="0" w:color="auto"/>
                <w:left w:val="none" w:sz="0" w:space="0" w:color="auto"/>
                <w:bottom w:val="none" w:sz="0" w:space="0" w:color="auto"/>
                <w:right w:val="none" w:sz="0" w:space="0" w:color="auto"/>
              </w:divBdr>
              <w:divsChild>
                <w:div w:id="2044398212">
                  <w:marLeft w:val="0"/>
                  <w:marRight w:val="0"/>
                  <w:marTop w:val="0"/>
                  <w:marBottom w:val="0"/>
                  <w:divBdr>
                    <w:top w:val="none" w:sz="0" w:space="0" w:color="auto"/>
                    <w:left w:val="none" w:sz="0" w:space="0" w:color="auto"/>
                    <w:bottom w:val="none" w:sz="0" w:space="0" w:color="auto"/>
                    <w:right w:val="none" w:sz="0" w:space="0" w:color="auto"/>
                  </w:divBdr>
                  <w:divsChild>
                    <w:div w:id="205720946">
                      <w:marLeft w:val="0"/>
                      <w:marRight w:val="0"/>
                      <w:marTop w:val="0"/>
                      <w:marBottom w:val="0"/>
                      <w:divBdr>
                        <w:top w:val="none" w:sz="0" w:space="0" w:color="auto"/>
                        <w:left w:val="none" w:sz="0" w:space="0" w:color="auto"/>
                        <w:bottom w:val="none" w:sz="0" w:space="0" w:color="auto"/>
                        <w:right w:val="none" w:sz="0" w:space="0" w:color="auto"/>
                      </w:divBdr>
                    </w:div>
                    <w:div w:id="1373187736">
                      <w:marLeft w:val="0"/>
                      <w:marRight w:val="0"/>
                      <w:marTop w:val="0"/>
                      <w:marBottom w:val="0"/>
                      <w:divBdr>
                        <w:top w:val="none" w:sz="0" w:space="0" w:color="auto"/>
                        <w:left w:val="none" w:sz="0" w:space="0" w:color="auto"/>
                        <w:bottom w:val="none" w:sz="0" w:space="0" w:color="auto"/>
                        <w:right w:val="none" w:sz="0" w:space="0" w:color="auto"/>
                      </w:divBdr>
                    </w:div>
                    <w:div w:id="544827320">
                      <w:marLeft w:val="0"/>
                      <w:marRight w:val="0"/>
                      <w:marTop w:val="0"/>
                      <w:marBottom w:val="0"/>
                      <w:divBdr>
                        <w:top w:val="none" w:sz="0" w:space="0" w:color="auto"/>
                        <w:left w:val="none" w:sz="0" w:space="0" w:color="auto"/>
                        <w:bottom w:val="none" w:sz="0" w:space="0" w:color="auto"/>
                        <w:right w:val="none" w:sz="0" w:space="0" w:color="auto"/>
                      </w:divBdr>
                    </w:div>
                    <w:div w:id="443890552">
                      <w:marLeft w:val="0"/>
                      <w:marRight w:val="0"/>
                      <w:marTop w:val="0"/>
                      <w:marBottom w:val="0"/>
                      <w:divBdr>
                        <w:top w:val="none" w:sz="0" w:space="0" w:color="auto"/>
                        <w:left w:val="none" w:sz="0" w:space="0" w:color="auto"/>
                        <w:bottom w:val="none" w:sz="0" w:space="0" w:color="auto"/>
                        <w:right w:val="none" w:sz="0" w:space="0" w:color="auto"/>
                      </w:divBdr>
                    </w:div>
                    <w:div w:id="2087026481">
                      <w:marLeft w:val="0"/>
                      <w:marRight w:val="0"/>
                      <w:marTop w:val="0"/>
                      <w:marBottom w:val="0"/>
                      <w:divBdr>
                        <w:top w:val="none" w:sz="0" w:space="0" w:color="auto"/>
                        <w:left w:val="none" w:sz="0" w:space="0" w:color="auto"/>
                        <w:bottom w:val="none" w:sz="0" w:space="0" w:color="auto"/>
                        <w:right w:val="none" w:sz="0" w:space="0" w:color="auto"/>
                      </w:divBdr>
                    </w:div>
                    <w:div w:id="601496703">
                      <w:marLeft w:val="0"/>
                      <w:marRight w:val="0"/>
                      <w:marTop w:val="0"/>
                      <w:marBottom w:val="0"/>
                      <w:divBdr>
                        <w:top w:val="none" w:sz="0" w:space="0" w:color="auto"/>
                        <w:left w:val="none" w:sz="0" w:space="0" w:color="auto"/>
                        <w:bottom w:val="none" w:sz="0" w:space="0" w:color="auto"/>
                        <w:right w:val="none" w:sz="0" w:space="0" w:color="auto"/>
                      </w:divBdr>
                    </w:div>
                    <w:div w:id="1161194964">
                      <w:marLeft w:val="0"/>
                      <w:marRight w:val="0"/>
                      <w:marTop w:val="0"/>
                      <w:marBottom w:val="0"/>
                      <w:divBdr>
                        <w:top w:val="none" w:sz="0" w:space="0" w:color="auto"/>
                        <w:left w:val="none" w:sz="0" w:space="0" w:color="auto"/>
                        <w:bottom w:val="none" w:sz="0" w:space="0" w:color="auto"/>
                        <w:right w:val="none" w:sz="0" w:space="0" w:color="auto"/>
                      </w:divBdr>
                    </w:div>
                    <w:div w:id="226693988">
                      <w:marLeft w:val="0"/>
                      <w:marRight w:val="0"/>
                      <w:marTop w:val="0"/>
                      <w:marBottom w:val="0"/>
                      <w:divBdr>
                        <w:top w:val="none" w:sz="0" w:space="0" w:color="auto"/>
                        <w:left w:val="none" w:sz="0" w:space="0" w:color="auto"/>
                        <w:bottom w:val="none" w:sz="0" w:space="0" w:color="auto"/>
                        <w:right w:val="none" w:sz="0" w:space="0" w:color="auto"/>
                      </w:divBdr>
                    </w:div>
                    <w:div w:id="1985039913">
                      <w:marLeft w:val="0"/>
                      <w:marRight w:val="0"/>
                      <w:marTop w:val="0"/>
                      <w:marBottom w:val="0"/>
                      <w:divBdr>
                        <w:top w:val="none" w:sz="0" w:space="0" w:color="auto"/>
                        <w:left w:val="none" w:sz="0" w:space="0" w:color="auto"/>
                        <w:bottom w:val="none" w:sz="0" w:space="0" w:color="auto"/>
                        <w:right w:val="none" w:sz="0" w:space="0" w:color="auto"/>
                      </w:divBdr>
                    </w:div>
                    <w:div w:id="340401259">
                      <w:marLeft w:val="0"/>
                      <w:marRight w:val="0"/>
                      <w:marTop w:val="0"/>
                      <w:marBottom w:val="0"/>
                      <w:divBdr>
                        <w:top w:val="none" w:sz="0" w:space="0" w:color="auto"/>
                        <w:left w:val="none" w:sz="0" w:space="0" w:color="auto"/>
                        <w:bottom w:val="none" w:sz="0" w:space="0" w:color="auto"/>
                        <w:right w:val="none" w:sz="0" w:space="0" w:color="auto"/>
                      </w:divBdr>
                    </w:div>
                    <w:div w:id="989099101">
                      <w:marLeft w:val="0"/>
                      <w:marRight w:val="0"/>
                      <w:marTop w:val="0"/>
                      <w:marBottom w:val="0"/>
                      <w:divBdr>
                        <w:top w:val="none" w:sz="0" w:space="0" w:color="auto"/>
                        <w:left w:val="none" w:sz="0" w:space="0" w:color="auto"/>
                        <w:bottom w:val="none" w:sz="0" w:space="0" w:color="auto"/>
                        <w:right w:val="none" w:sz="0" w:space="0" w:color="auto"/>
                      </w:divBdr>
                    </w:div>
                    <w:div w:id="1297954561">
                      <w:marLeft w:val="0"/>
                      <w:marRight w:val="0"/>
                      <w:marTop w:val="0"/>
                      <w:marBottom w:val="0"/>
                      <w:divBdr>
                        <w:top w:val="none" w:sz="0" w:space="0" w:color="auto"/>
                        <w:left w:val="none" w:sz="0" w:space="0" w:color="auto"/>
                        <w:bottom w:val="none" w:sz="0" w:space="0" w:color="auto"/>
                        <w:right w:val="none" w:sz="0" w:space="0" w:color="auto"/>
                      </w:divBdr>
                    </w:div>
                    <w:div w:id="954169672">
                      <w:marLeft w:val="0"/>
                      <w:marRight w:val="0"/>
                      <w:marTop w:val="0"/>
                      <w:marBottom w:val="0"/>
                      <w:divBdr>
                        <w:top w:val="none" w:sz="0" w:space="0" w:color="auto"/>
                        <w:left w:val="none" w:sz="0" w:space="0" w:color="auto"/>
                        <w:bottom w:val="none" w:sz="0" w:space="0" w:color="auto"/>
                        <w:right w:val="none" w:sz="0" w:space="0" w:color="auto"/>
                      </w:divBdr>
                    </w:div>
                    <w:div w:id="1668510391">
                      <w:marLeft w:val="0"/>
                      <w:marRight w:val="0"/>
                      <w:marTop w:val="0"/>
                      <w:marBottom w:val="0"/>
                      <w:divBdr>
                        <w:top w:val="none" w:sz="0" w:space="0" w:color="auto"/>
                        <w:left w:val="none" w:sz="0" w:space="0" w:color="auto"/>
                        <w:bottom w:val="none" w:sz="0" w:space="0" w:color="auto"/>
                        <w:right w:val="none" w:sz="0" w:space="0" w:color="auto"/>
                      </w:divBdr>
                    </w:div>
                    <w:div w:id="2145345159">
                      <w:marLeft w:val="0"/>
                      <w:marRight w:val="0"/>
                      <w:marTop w:val="0"/>
                      <w:marBottom w:val="0"/>
                      <w:divBdr>
                        <w:top w:val="none" w:sz="0" w:space="0" w:color="auto"/>
                        <w:left w:val="none" w:sz="0" w:space="0" w:color="auto"/>
                        <w:bottom w:val="none" w:sz="0" w:space="0" w:color="auto"/>
                        <w:right w:val="none" w:sz="0" w:space="0" w:color="auto"/>
                      </w:divBdr>
                    </w:div>
                    <w:div w:id="387647880">
                      <w:marLeft w:val="0"/>
                      <w:marRight w:val="0"/>
                      <w:marTop w:val="0"/>
                      <w:marBottom w:val="0"/>
                      <w:divBdr>
                        <w:top w:val="none" w:sz="0" w:space="0" w:color="auto"/>
                        <w:left w:val="none" w:sz="0" w:space="0" w:color="auto"/>
                        <w:bottom w:val="none" w:sz="0" w:space="0" w:color="auto"/>
                        <w:right w:val="none" w:sz="0" w:space="0" w:color="auto"/>
                      </w:divBdr>
                    </w:div>
                    <w:div w:id="1104618636">
                      <w:marLeft w:val="0"/>
                      <w:marRight w:val="0"/>
                      <w:marTop w:val="0"/>
                      <w:marBottom w:val="0"/>
                      <w:divBdr>
                        <w:top w:val="none" w:sz="0" w:space="0" w:color="auto"/>
                        <w:left w:val="none" w:sz="0" w:space="0" w:color="auto"/>
                        <w:bottom w:val="none" w:sz="0" w:space="0" w:color="auto"/>
                        <w:right w:val="none" w:sz="0" w:space="0" w:color="auto"/>
                      </w:divBdr>
                    </w:div>
                    <w:div w:id="611866634">
                      <w:marLeft w:val="0"/>
                      <w:marRight w:val="0"/>
                      <w:marTop w:val="0"/>
                      <w:marBottom w:val="0"/>
                      <w:divBdr>
                        <w:top w:val="none" w:sz="0" w:space="0" w:color="auto"/>
                        <w:left w:val="none" w:sz="0" w:space="0" w:color="auto"/>
                        <w:bottom w:val="none" w:sz="0" w:space="0" w:color="auto"/>
                        <w:right w:val="none" w:sz="0" w:space="0" w:color="auto"/>
                      </w:divBdr>
                    </w:div>
                    <w:div w:id="559285839">
                      <w:marLeft w:val="0"/>
                      <w:marRight w:val="0"/>
                      <w:marTop w:val="0"/>
                      <w:marBottom w:val="0"/>
                      <w:divBdr>
                        <w:top w:val="none" w:sz="0" w:space="0" w:color="auto"/>
                        <w:left w:val="none" w:sz="0" w:space="0" w:color="auto"/>
                        <w:bottom w:val="none" w:sz="0" w:space="0" w:color="auto"/>
                        <w:right w:val="none" w:sz="0" w:space="0" w:color="auto"/>
                      </w:divBdr>
                    </w:div>
                    <w:div w:id="213879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521329">
          <w:marLeft w:val="0"/>
          <w:marRight w:val="0"/>
          <w:marTop w:val="0"/>
          <w:marBottom w:val="0"/>
          <w:divBdr>
            <w:top w:val="none" w:sz="0" w:space="0" w:color="auto"/>
            <w:left w:val="none" w:sz="0" w:space="0" w:color="auto"/>
            <w:bottom w:val="none" w:sz="0" w:space="0" w:color="auto"/>
            <w:right w:val="none" w:sz="0" w:space="0" w:color="auto"/>
          </w:divBdr>
          <w:divsChild>
            <w:div w:id="47907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471284">
      <w:bodyDiv w:val="1"/>
      <w:marLeft w:val="0"/>
      <w:marRight w:val="0"/>
      <w:marTop w:val="0"/>
      <w:marBottom w:val="0"/>
      <w:divBdr>
        <w:top w:val="none" w:sz="0" w:space="0" w:color="auto"/>
        <w:left w:val="none" w:sz="0" w:space="0" w:color="auto"/>
        <w:bottom w:val="none" w:sz="0" w:space="0" w:color="auto"/>
        <w:right w:val="none" w:sz="0" w:space="0" w:color="auto"/>
      </w:divBdr>
    </w:div>
    <w:div w:id="2108572478">
      <w:bodyDiv w:val="1"/>
      <w:marLeft w:val="0"/>
      <w:marRight w:val="0"/>
      <w:marTop w:val="0"/>
      <w:marBottom w:val="0"/>
      <w:divBdr>
        <w:top w:val="none" w:sz="0" w:space="0" w:color="auto"/>
        <w:left w:val="none" w:sz="0" w:space="0" w:color="auto"/>
        <w:bottom w:val="none" w:sz="0" w:space="0" w:color="auto"/>
        <w:right w:val="none" w:sz="0" w:space="0" w:color="auto"/>
      </w:divBdr>
      <w:divsChild>
        <w:div w:id="452873074">
          <w:marLeft w:val="0"/>
          <w:marRight w:val="0"/>
          <w:marTop w:val="0"/>
          <w:marBottom w:val="0"/>
          <w:divBdr>
            <w:top w:val="none" w:sz="0" w:space="0" w:color="auto"/>
            <w:left w:val="none" w:sz="0" w:space="0" w:color="auto"/>
            <w:bottom w:val="none" w:sz="0" w:space="0" w:color="auto"/>
            <w:right w:val="none" w:sz="0" w:space="0" w:color="auto"/>
          </w:divBdr>
          <w:divsChild>
            <w:div w:id="1041592505">
              <w:marLeft w:val="0"/>
              <w:marRight w:val="0"/>
              <w:marTop w:val="0"/>
              <w:marBottom w:val="0"/>
              <w:divBdr>
                <w:top w:val="none" w:sz="0" w:space="0" w:color="auto"/>
                <w:left w:val="none" w:sz="0" w:space="0" w:color="auto"/>
                <w:bottom w:val="none" w:sz="0" w:space="0" w:color="auto"/>
                <w:right w:val="none" w:sz="0" w:space="0" w:color="auto"/>
              </w:divBdr>
              <w:divsChild>
                <w:div w:id="1701860306">
                  <w:marLeft w:val="0"/>
                  <w:marRight w:val="0"/>
                  <w:marTop w:val="0"/>
                  <w:marBottom w:val="0"/>
                  <w:divBdr>
                    <w:top w:val="none" w:sz="0" w:space="0" w:color="auto"/>
                    <w:left w:val="none" w:sz="0" w:space="0" w:color="auto"/>
                    <w:bottom w:val="none" w:sz="0" w:space="0" w:color="auto"/>
                    <w:right w:val="none" w:sz="0" w:space="0" w:color="auto"/>
                  </w:divBdr>
                  <w:divsChild>
                    <w:div w:id="795490854">
                      <w:marLeft w:val="-225"/>
                      <w:marRight w:val="-225"/>
                      <w:marTop w:val="0"/>
                      <w:marBottom w:val="0"/>
                      <w:divBdr>
                        <w:top w:val="none" w:sz="0" w:space="0" w:color="auto"/>
                        <w:left w:val="none" w:sz="0" w:space="0" w:color="auto"/>
                        <w:bottom w:val="none" w:sz="0" w:space="0" w:color="auto"/>
                        <w:right w:val="none" w:sz="0" w:space="0" w:color="auto"/>
                      </w:divBdr>
                      <w:divsChild>
                        <w:div w:id="960188533">
                          <w:marLeft w:val="0"/>
                          <w:marRight w:val="0"/>
                          <w:marTop w:val="0"/>
                          <w:marBottom w:val="0"/>
                          <w:divBdr>
                            <w:top w:val="none" w:sz="0" w:space="0" w:color="auto"/>
                            <w:left w:val="none" w:sz="0" w:space="0" w:color="auto"/>
                            <w:bottom w:val="none" w:sz="0" w:space="0" w:color="auto"/>
                            <w:right w:val="none" w:sz="0" w:space="0" w:color="auto"/>
                          </w:divBdr>
                          <w:divsChild>
                            <w:div w:id="1400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2024-05-28T08:31:00Z</dcterms:created>
  <dcterms:modified xsi:type="dcterms:W3CDTF">2024-05-28T09:08:00Z</dcterms:modified>
</cp:coreProperties>
</file>