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87" w:rsidRDefault="007F7F87" w:rsidP="00753C76">
      <w:pPr>
        <w:spacing w:after="0" w:line="360" w:lineRule="auto"/>
        <w:jc w:val="center"/>
        <w:rPr>
          <w:rFonts w:ascii="Times New Roman" w:eastAsia="Times New Roman" w:hAnsi="Times New Roman" w:cs="Times New Roman"/>
          <w:b/>
          <w:sz w:val="26"/>
          <w:szCs w:val="26"/>
        </w:rPr>
      </w:pPr>
      <w:r w:rsidRPr="00753C76">
        <w:rPr>
          <w:rFonts w:ascii="Times New Roman" w:eastAsia="Times New Roman" w:hAnsi="Times New Roman" w:cs="Times New Roman"/>
          <w:b/>
          <w:sz w:val="26"/>
          <w:szCs w:val="26"/>
        </w:rPr>
        <w:t>KẾ TOÁN TRƯỞNG VÀ CÁC QUY ĐỊNH CÓ LIÊN QUAN</w:t>
      </w:r>
    </w:p>
    <w:p w:rsidR="00753C76" w:rsidRPr="00753C76" w:rsidRDefault="00753C76" w:rsidP="00753C76">
      <w:pPr>
        <w:spacing w:after="0" w:line="36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Nguyễn Thị Quỳnh Giao</w:t>
      </w:r>
    </w:p>
    <w:p w:rsidR="007F7F87" w:rsidRPr="00753C76" w:rsidRDefault="007F7F87" w:rsidP="00753C76">
      <w:pPr>
        <w:spacing w:after="0" w:line="360" w:lineRule="auto"/>
        <w:rPr>
          <w:rFonts w:ascii="Times New Roman" w:eastAsia="Times New Roman" w:hAnsi="Times New Roman" w:cs="Times New Roman"/>
          <w:b/>
          <w:sz w:val="26"/>
          <w:szCs w:val="26"/>
        </w:rPr>
      </w:pPr>
      <w:bookmarkStart w:id="0" w:name="_GoBack"/>
      <w:bookmarkEnd w:id="0"/>
      <w:r w:rsidRPr="00753C76">
        <w:rPr>
          <w:rFonts w:ascii="Times New Roman" w:eastAsia="Times New Roman" w:hAnsi="Times New Roman" w:cs="Times New Roman"/>
          <w:b/>
          <w:sz w:val="26"/>
          <w:szCs w:val="26"/>
        </w:rPr>
        <w:t>Kế toán trưởng</w:t>
      </w:r>
    </w:p>
    <w:p w:rsidR="007F7F87" w:rsidRPr="007F7F87" w:rsidRDefault="007F7F87" w:rsidP="00753C76">
      <w:pPr>
        <w:spacing w:after="0" w:line="360" w:lineRule="auto"/>
        <w:rPr>
          <w:rFonts w:ascii="Times New Roman" w:eastAsia="Times New Roman" w:hAnsi="Times New Roman" w:cs="Times New Roman"/>
          <w:sz w:val="26"/>
          <w:szCs w:val="26"/>
        </w:rPr>
      </w:pPr>
      <w:r w:rsidRPr="007F7F87">
        <w:rPr>
          <w:rFonts w:ascii="Times New Roman" w:eastAsia="Times New Roman" w:hAnsi="Times New Roman" w:cs="Times New Roman"/>
          <w:sz w:val="26"/>
          <w:szCs w:val="26"/>
        </w:rPr>
        <w:t>Căn cứ </w:t>
      </w:r>
      <w:hyperlink r:id="rId5" w:tgtFrame="_blank" w:history="1">
        <w:r w:rsidRPr="00753C76">
          <w:rPr>
            <w:rFonts w:ascii="Times New Roman" w:eastAsia="Times New Roman" w:hAnsi="Times New Roman" w:cs="Times New Roman"/>
            <w:sz w:val="26"/>
            <w:szCs w:val="26"/>
          </w:rPr>
          <w:t>Điều 53 Luật Kế toán 2015</w:t>
        </w:r>
      </w:hyperlink>
      <w:r w:rsidRPr="007F7F87">
        <w:rPr>
          <w:rFonts w:ascii="Times New Roman" w:eastAsia="Times New Roman" w:hAnsi="Times New Roman" w:cs="Times New Roman"/>
          <w:sz w:val="26"/>
          <w:szCs w:val="26"/>
        </w:rPr>
        <w:t> quy định về kế toán trưởng như sau:</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t xml:space="preserve"> 1. Kế toán trưởng là người đứng đầu bộ máy kế toán của đơn vị có nhiệm vụ tổ chức thực hiện công tác kế toán trong đơn vị kế toán.</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t>2. Kế toán trưởng của cơ quan nhà nước, tổ chức, đơn vị sự nghiệp sử dụng ngân sách nhà nước và doanh nghiệp do Nhà nước nắm giữ trên 50% vốn điều lệ ngoài nhiệm vụ quy định tại khoản 1 Điều này còn có nhiệm vụ giúp người đại diện theo pháp luật của đơn vị kế toán giám sát tài chính tại đơn vị kế toán.</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t>3. Kế toán trưởng chịu sự lãnh đạo của người đại diện theo pháp luật của đơn vị kế toán; trường hợp có đơn vị kế toán cấp trên thì đồng thời chịu sự chỉ đạo và kiểm tra của kế toán trưởng của đơn vị kế toán cấp trên về chuyên môn, nghiệp vụ.</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t>4. Trường hợp đơn vị kế toán cử người phụ trách kế toán thay kế toán trưởng thì người phụ trách kế toán phải có các tiêu chuẩn, điều kiện quy định tại khoản 1 Điều 54 của Luật này và phải thực hiện trách nhiệm và quyền quy định cho kế toán trưởng quy định tại Điều 55 của Luật này."</w:t>
      </w:r>
    </w:p>
    <w:p w:rsidR="007F7F87" w:rsidRPr="007F7F87" w:rsidRDefault="007F7F87" w:rsidP="00753C76">
      <w:pPr>
        <w:spacing w:after="0" w:line="360" w:lineRule="auto"/>
        <w:rPr>
          <w:rFonts w:ascii="Times New Roman" w:eastAsia="Times New Roman" w:hAnsi="Times New Roman" w:cs="Times New Roman"/>
          <w:sz w:val="26"/>
          <w:szCs w:val="26"/>
        </w:rPr>
      </w:pPr>
      <w:r w:rsidRPr="007F7F87">
        <w:rPr>
          <w:rFonts w:ascii="Times New Roman" w:eastAsia="Times New Roman" w:hAnsi="Times New Roman" w:cs="Times New Roman"/>
          <w:sz w:val="26"/>
          <w:szCs w:val="26"/>
        </w:rPr>
        <w:t>Theo đó, kế toán trưởng là người đứng đầu bộ máy kế toán của đơn vị có nhiệm vụ tổ chức thực hiện công tác kế toán trong đơn vị kế toán, giám sát tài chính của đơn vị kế toán khi nhiệm vụ yêu cầu và chịu sự lãnh đạo của người đại diện theo pháp luật của đơn vị kế toán.</w:t>
      </w:r>
    </w:p>
    <w:p w:rsidR="007F7F87" w:rsidRPr="00753C76" w:rsidRDefault="007F7F87" w:rsidP="00753C76">
      <w:pPr>
        <w:spacing w:after="0" w:line="360" w:lineRule="auto"/>
        <w:rPr>
          <w:rFonts w:ascii="Times New Roman" w:eastAsia="Times New Roman" w:hAnsi="Times New Roman" w:cs="Times New Roman"/>
          <w:b/>
          <w:sz w:val="26"/>
          <w:szCs w:val="26"/>
        </w:rPr>
      </w:pPr>
      <w:r w:rsidRPr="00753C76">
        <w:rPr>
          <w:rFonts w:ascii="Times New Roman" w:eastAsia="Times New Roman" w:hAnsi="Times New Roman" w:cs="Times New Roman"/>
          <w:b/>
          <w:sz w:val="26"/>
          <w:szCs w:val="26"/>
        </w:rPr>
        <w:t xml:space="preserve">Quy định về kế toán trưởng </w:t>
      </w:r>
    </w:p>
    <w:p w:rsidR="007F7F87" w:rsidRPr="007F7F87" w:rsidRDefault="007F7F87" w:rsidP="00753C76">
      <w:pPr>
        <w:spacing w:after="0" w:line="360" w:lineRule="auto"/>
        <w:rPr>
          <w:rFonts w:ascii="Times New Roman" w:eastAsia="Times New Roman" w:hAnsi="Times New Roman" w:cs="Times New Roman"/>
          <w:sz w:val="26"/>
          <w:szCs w:val="26"/>
        </w:rPr>
      </w:pPr>
      <w:r w:rsidRPr="007F7F87">
        <w:rPr>
          <w:rFonts w:ascii="Times New Roman" w:eastAsia="Times New Roman" w:hAnsi="Times New Roman" w:cs="Times New Roman"/>
          <w:sz w:val="26"/>
          <w:szCs w:val="26"/>
        </w:rPr>
        <w:t>Căn cứ </w:t>
      </w:r>
      <w:hyperlink r:id="rId6" w:tgtFrame="_blank" w:history="1">
        <w:r w:rsidRPr="00753C76">
          <w:rPr>
            <w:rFonts w:ascii="Times New Roman" w:eastAsia="Times New Roman" w:hAnsi="Times New Roman" w:cs="Times New Roman"/>
            <w:sz w:val="26"/>
            <w:szCs w:val="26"/>
          </w:rPr>
          <w:t>Điều 54 Luật Kế toán 2015</w:t>
        </w:r>
      </w:hyperlink>
      <w:r w:rsidRPr="007F7F87">
        <w:rPr>
          <w:rFonts w:ascii="Times New Roman" w:eastAsia="Times New Roman" w:hAnsi="Times New Roman" w:cs="Times New Roman"/>
          <w:sz w:val="26"/>
          <w:szCs w:val="26"/>
        </w:rPr>
        <w:t> quy định về tiêu chuẩn và điều kiện của kế toán trưởng như sau:</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t>1. Kế toán trưởng phải có các tiêu chuẩn và điều kiện sau đây:</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t>a) Các tiêu chuẩn quy định tại khoản 1 Điều 51 của Luật này;</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t>b) Có chuyên môn, nghiệp vụ về kế toán từ trình độ trung cấp trở lên;</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t>c) Có chứng chỉ bồi dưỡng kế toán trưởng;</w:t>
      </w:r>
    </w:p>
    <w:p w:rsidR="007F7F87" w:rsidRPr="007F7F87" w:rsidRDefault="007F7F87" w:rsidP="00753C76">
      <w:pPr>
        <w:spacing w:after="0" w:line="360" w:lineRule="auto"/>
        <w:rPr>
          <w:rFonts w:ascii="Times New Roman" w:eastAsia="Times New Roman" w:hAnsi="Times New Roman" w:cs="Times New Roman"/>
          <w:sz w:val="26"/>
          <w:szCs w:val="26"/>
        </w:rPr>
      </w:pPr>
      <w:r w:rsidRPr="00753C76">
        <w:rPr>
          <w:rFonts w:ascii="Times New Roman" w:eastAsia="Times New Roman" w:hAnsi="Times New Roman" w:cs="Times New Roman"/>
          <w:iCs/>
          <w:sz w:val="26"/>
          <w:szCs w:val="26"/>
        </w:rPr>
        <w:lastRenderedPageBreak/>
        <w:t>d) Có thời gian công tác thực tế về kế toán ít nhất là 02 năm đối với người có chuyên môn, nghiệp vụ về kế toán từ trình độ đại học trở lên và thời gian công tác thực tế về kế toán ít nhất là 03 năm đối với người có chuyên môn, nghiệp vụ về kế toán trình độ trung cấp, cao đẳng.</w:t>
      </w:r>
    </w:p>
    <w:p w:rsidR="007F7F87" w:rsidRPr="00753C76" w:rsidRDefault="007F7F87" w:rsidP="00753C76">
      <w:pPr>
        <w:spacing w:after="0" w:line="360" w:lineRule="auto"/>
        <w:rPr>
          <w:rFonts w:ascii="Times New Roman" w:eastAsia="Times New Roman" w:hAnsi="Times New Roman" w:cs="Times New Roman"/>
          <w:iCs/>
          <w:sz w:val="26"/>
          <w:szCs w:val="26"/>
        </w:rPr>
      </w:pPr>
      <w:r w:rsidRPr="00753C76">
        <w:rPr>
          <w:rFonts w:ascii="Times New Roman" w:eastAsia="Times New Roman" w:hAnsi="Times New Roman" w:cs="Times New Roman"/>
          <w:iCs/>
          <w:sz w:val="26"/>
          <w:szCs w:val="26"/>
        </w:rPr>
        <w:t>2. Chính phủ quy định cụ thể tiêu chuẩn và điều kiện của kế toán trưởng phù hợp với từng loại đơn vị kế toán."</w:t>
      </w:r>
    </w:p>
    <w:p w:rsidR="007F7F87" w:rsidRPr="00753C76" w:rsidRDefault="007F7F87" w:rsidP="00753C76">
      <w:pPr>
        <w:spacing w:after="0" w:line="360" w:lineRule="auto"/>
        <w:rPr>
          <w:rFonts w:ascii="Times New Roman" w:eastAsia="Times New Roman" w:hAnsi="Times New Roman" w:cs="Times New Roman"/>
          <w:iCs/>
          <w:sz w:val="26"/>
          <w:szCs w:val="26"/>
        </w:rPr>
      </w:pPr>
      <w:r w:rsidRPr="00753C76">
        <w:rPr>
          <w:rFonts w:ascii="Times New Roman" w:eastAsia="Times New Roman" w:hAnsi="Times New Roman" w:cs="Times New Roman"/>
          <w:iCs/>
          <w:sz w:val="26"/>
          <w:szCs w:val="26"/>
        </w:rPr>
        <w:t xml:space="preserve">Theo đó để trở thành Kế toán </w:t>
      </w:r>
      <w:r w:rsidR="00753C76" w:rsidRPr="00753C76">
        <w:rPr>
          <w:rFonts w:ascii="Times New Roman" w:eastAsia="Times New Roman" w:hAnsi="Times New Roman" w:cs="Times New Roman"/>
          <w:iCs/>
          <w:sz w:val="26"/>
          <w:szCs w:val="26"/>
        </w:rPr>
        <w:t>trưởng thì kế toán phải có chứng chỉ bồi dưỡng kế toán trưởng</w:t>
      </w:r>
    </w:p>
    <w:p w:rsidR="00753C76" w:rsidRPr="00753C76" w:rsidRDefault="00753C76" w:rsidP="00753C76">
      <w:pPr>
        <w:pStyle w:val="NormalWeb"/>
        <w:shd w:val="clear" w:color="auto" w:fill="FFFFFF"/>
        <w:spacing w:before="0" w:beforeAutospacing="0" w:after="0" w:afterAutospacing="0" w:line="360" w:lineRule="auto"/>
        <w:rPr>
          <w:b/>
          <w:sz w:val="26"/>
          <w:szCs w:val="26"/>
        </w:rPr>
      </w:pPr>
      <w:r w:rsidRPr="00753C76">
        <w:rPr>
          <w:b/>
          <w:sz w:val="26"/>
          <w:szCs w:val="26"/>
        </w:rPr>
        <w:t>Chứng chỉ kế toán trưởng</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Điều 2 Thông tư </w:t>
      </w:r>
      <w:hyperlink r:id="rId7" w:history="1">
        <w:r w:rsidRPr="00753C76">
          <w:rPr>
            <w:rStyle w:val="Hyperlink"/>
            <w:color w:val="auto"/>
            <w:sz w:val="26"/>
            <w:szCs w:val="26"/>
            <w:u w:val="none"/>
          </w:rPr>
          <w:t>199/2011/TT-BTC</w:t>
        </w:r>
      </w:hyperlink>
      <w:r w:rsidRPr="00753C76">
        <w:rPr>
          <w:sz w:val="26"/>
          <w:szCs w:val="26"/>
        </w:rPr>
        <w:t> quy định về tiêu chuẩn học viên tham dự khóa học bồi dưỡng kế toán trưởng như sau:</w:t>
      </w:r>
    </w:p>
    <w:p w:rsidR="00753C76" w:rsidRPr="00753C76" w:rsidRDefault="00753C76" w:rsidP="00753C76">
      <w:pPr>
        <w:pStyle w:val="NormalWeb"/>
        <w:shd w:val="clear" w:color="auto" w:fill="FFFFFF"/>
        <w:spacing w:before="0" w:beforeAutospacing="0" w:after="0" w:afterAutospacing="0" w:line="360" w:lineRule="auto"/>
        <w:rPr>
          <w:sz w:val="26"/>
          <w:szCs w:val="26"/>
        </w:rPr>
      </w:pPr>
      <w:r>
        <w:rPr>
          <w:rStyle w:val="Strong"/>
          <w:sz w:val="26"/>
          <w:szCs w:val="26"/>
        </w:rPr>
        <w:t xml:space="preserve">- </w:t>
      </w:r>
      <w:r w:rsidRPr="00753C76">
        <w:rPr>
          <w:rStyle w:val="Strong"/>
          <w:sz w:val="26"/>
          <w:szCs w:val="26"/>
        </w:rPr>
        <w:t>Đối với người Việt Nam</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 Có phẩm chất đạo đức nghề nghiệp, liêm khiết, trung thực, có ý thức chấp hành pháp luật;</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 Có trình độ chuyên môn, nghiệp vụ về tài chính, kế toán, kiểm toán từ bậc trung cấp trở lên và có thời gian công tác thực tế về tài chính, kế toán, kiểm toán như sau:</w:t>
      </w:r>
    </w:p>
    <w:p w:rsidR="00753C76" w:rsidRPr="00753C76" w:rsidRDefault="00753C76" w:rsidP="00753C76">
      <w:pPr>
        <w:pStyle w:val="NormalWeb"/>
        <w:shd w:val="clear" w:color="auto" w:fill="FFFFFF"/>
        <w:spacing w:before="0" w:beforeAutospacing="0" w:after="0" w:afterAutospacing="0" w:line="360" w:lineRule="auto"/>
        <w:ind w:left="150"/>
        <w:rPr>
          <w:sz w:val="26"/>
          <w:szCs w:val="26"/>
        </w:rPr>
      </w:pPr>
      <w:r>
        <w:rPr>
          <w:sz w:val="26"/>
          <w:szCs w:val="26"/>
        </w:rPr>
        <w:t xml:space="preserve">* </w:t>
      </w:r>
      <w:r w:rsidRPr="00753C76">
        <w:rPr>
          <w:sz w:val="26"/>
          <w:szCs w:val="26"/>
        </w:rPr>
        <w:t>Tối thiểu là 02 năm trở lên kể từ ngày ghi trên bằng tốt nghiệp đại học chuyên ngành tài chính, kế toán, kiểm toán;</w:t>
      </w:r>
    </w:p>
    <w:p w:rsidR="00753C76" w:rsidRPr="00753C76" w:rsidRDefault="00753C76" w:rsidP="00753C76">
      <w:pPr>
        <w:pStyle w:val="NormalWeb"/>
        <w:shd w:val="clear" w:color="auto" w:fill="FFFFFF"/>
        <w:spacing w:before="0" w:beforeAutospacing="0" w:after="0" w:afterAutospacing="0" w:line="360" w:lineRule="auto"/>
        <w:rPr>
          <w:sz w:val="26"/>
          <w:szCs w:val="26"/>
        </w:rPr>
      </w:pPr>
      <w:r>
        <w:rPr>
          <w:sz w:val="26"/>
          <w:szCs w:val="26"/>
        </w:rPr>
        <w:t xml:space="preserve">  * </w:t>
      </w:r>
      <w:r w:rsidRPr="00753C76">
        <w:rPr>
          <w:sz w:val="26"/>
          <w:szCs w:val="26"/>
        </w:rPr>
        <w:t>Tối thiểu là 03 năm trở lên kể từ ngày ghi trên bằng tốt nghiệp trung cấp hoặc cao đẳng chuyên ngành tài chính, kế toán, kiểm toán.</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 Có Đơn xin học, trong đó có xác nhận thời gian công tác thực tế về tài chính, kế toán, kiểm toán của cơ quan đang công tác, kèm theo bản sao có chứng thực Bằng tốt nghiệp chuyên ngành tài chính, kế toán, kiểm toán.</w:t>
      </w:r>
    </w:p>
    <w:p w:rsidR="00753C76" w:rsidRPr="00753C76" w:rsidRDefault="00753C76" w:rsidP="00753C76">
      <w:pPr>
        <w:pStyle w:val="NormalWeb"/>
        <w:shd w:val="clear" w:color="auto" w:fill="FFFFFF"/>
        <w:spacing w:before="0" w:beforeAutospacing="0" w:after="0" w:afterAutospacing="0" w:line="360" w:lineRule="auto"/>
        <w:rPr>
          <w:sz w:val="26"/>
          <w:szCs w:val="26"/>
        </w:rPr>
      </w:pPr>
      <w:r>
        <w:rPr>
          <w:rStyle w:val="Strong"/>
          <w:sz w:val="26"/>
          <w:szCs w:val="26"/>
        </w:rPr>
        <w:t xml:space="preserve">- </w:t>
      </w:r>
      <w:r w:rsidRPr="00753C76">
        <w:rPr>
          <w:rStyle w:val="Strong"/>
          <w:sz w:val="26"/>
          <w:szCs w:val="26"/>
        </w:rPr>
        <w:t>Đối với người nước ngoài:</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Có chứng chỉ chuyên gia kế toán, chứng chỉ hành nghề kế toán, chứng chỉ kiểm toán viên hoặc bằng tốt nghiệp đại học của các tổ chức nước ngoài (Được Bộ Tài chính Việt Nam thừa nhận).</w:t>
      </w:r>
    </w:p>
    <w:p w:rsidR="00753C76" w:rsidRPr="00753C76" w:rsidRDefault="00753C76" w:rsidP="00753C76">
      <w:pPr>
        <w:pStyle w:val="Heading2"/>
        <w:shd w:val="clear" w:color="auto" w:fill="FFFFFF"/>
        <w:spacing w:before="0" w:beforeAutospacing="0" w:after="0" w:afterAutospacing="0" w:line="360" w:lineRule="auto"/>
        <w:rPr>
          <w:rStyle w:val="Strong"/>
          <w:b/>
          <w:bCs/>
          <w:sz w:val="26"/>
          <w:szCs w:val="26"/>
        </w:rPr>
      </w:pPr>
      <w:r w:rsidRPr="00753C76">
        <w:rPr>
          <w:rStyle w:val="Strong"/>
          <w:b/>
          <w:bCs/>
          <w:sz w:val="26"/>
          <w:szCs w:val="26"/>
        </w:rPr>
        <w:t>Thời hạn của chứng chỉ kế toán trưởng</w:t>
      </w:r>
    </w:p>
    <w:p w:rsidR="00753C76" w:rsidRPr="00753C76" w:rsidRDefault="00753C76" w:rsidP="00753C76">
      <w:pPr>
        <w:pStyle w:val="Heading2"/>
        <w:shd w:val="clear" w:color="auto" w:fill="FFFFFF"/>
        <w:spacing w:before="0" w:beforeAutospacing="0" w:after="0" w:afterAutospacing="0" w:line="360" w:lineRule="auto"/>
        <w:rPr>
          <w:b w:val="0"/>
          <w:sz w:val="26"/>
          <w:szCs w:val="26"/>
        </w:rPr>
      </w:pPr>
      <w:r w:rsidRPr="00753C76">
        <w:rPr>
          <w:b w:val="0"/>
          <w:sz w:val="26"/>
          <w:szCs w:val="26"/>
        </w:rPr>
        <w:t>Theo đ</w:t>
      </w:r>
      <w:r w:rsidRPr="00753C76">
        <w:rPr>
          <w:b w:val="0"/>
          <w:sz w:val="26"/>
          <w:szCs w:val="26"/>
        </w:rPr>
        <w:t xml:space="preserve">iều </w:t>
      </w:r>
      <w:r w:rsidRPr="00753C76">
        <w:rPr>
          <w:b w:val="0"/>
          <w:sz w:val="26"/>
          <w:szCs w:val="26"/>
        </w:rPr>
        <w:t>9</w:t>
      </w:r>
      <w:r w:rsidRPr="00753C76">
        <w:rPr>
          <w:b w:val="0"/>
          <w:sz w:val="26"/>
          <w:szCs w:val="26"/>
        </w:rPr>
        <w:t xml:space="preserve"> Thông tư </w:t>
      </w:r>
      <w:hyperlink r:id="rId8" w:history="1">
        <w:r w:rsidRPr="00753C76">
          <w:rPr>
            <w:rStyle w:val="Hyperlink"/>
            <w:b w:val="0"/>
            <w:color w:val="auto"/>
            <w:sz w:val="26"/>
            <w:szCs w:val="26"/>
            <w:u w:val="none"/>
          </w:rPr>
          <w:t>199/2011/TT-BTC</w:t>
        </w:r>
      </w:hyperlink>
      <w:r w:rsidRPr="00753C76">
        <w:rPr>
          <w:b w:val="0"/>
          <w:sz w:val="26"/>
          <w:szCs w:val="26"/>
        </w:rPr>
        <w:t xml:space="preserve">: </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lastRenderedPageBreak/>
        <w:t>Chứng chỉ bồi dưỡng kế toán trưởng có giá trị sử dụng trong</w:t>
      </w:r>
      <w:r w:rsidRPr="00753C76">
        <w:rPr>
          <w:rStyle w:val="Strong"/>
          <w:sz w:val="26"/>
          <w:szCs w:val="26"/>
        </w:rPr>
        <w:t> thời hạn 05 năm kể từ ngày cấp</w:t>
      </w:r>
      <w:r w:rsidRPr="00753C76">
        <w:rPr>
          <w:sz w:val="26"/>
          <w:szCs w:val="26"/>
        </w:rPr>
        <w:t> để bổ nhiệm kế toán trưởng lần đầu.</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Quá 05 năm, học viên có yêu cầu cấp lại chứng chỉ phải học lại khoá học bồi dưỡng kế toán trưởng.</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Những người có chứng chỉ bồi dưỡng kế toán trưởng đã đủ điều kiện và được bổ nhiệm làm kế toán trưởng một lần thì chứng chỉ bồi dưỡng kế toán trưởng đó vẫn có giá trị để bổ nhiệm kế toán trưởng từ lần thứ hai trở đi, trừ khi khoảng thời gian không làm kế toán trưởng giữa hai lần bổ nhiệm đã quá 05 năm.</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Nếu chứng chỉ bị mất, thất lạc học viên liên hệ với cơ sở đào tạo, bồi dưỡng (nơi cấp chứng chỉ) để cấp lại.</w:t>
      </w:r>
    </w:p>
    <w:p w:rsidR="00753C76" w:rsidRPr="00753C76" w:rsidRDefault="00753C76" w:rsidP="00753C76">
      <w:pPr>
        <w:pStyle w:val="NormalWeb"/>
        <w:shd w:val="clear" w:color="auto" w:fill="FFFFFF"/>
        <w:spacing w:before="0" w:beforeAutospacing="0" w:after="0" w:afterAutospacing="0" w:line="360" w:lineRule="auto"/>
        <w:rPr>
          <w:sz w:val="26"/>
          <w:szCs w:val="26"/>
        </w:rPr>
      </w:pPr>
      <w:r w:rsidRPr="00753C76">
        <w:rPr>
          <w:sz w:val="26"/>
          <w:szCs w:val="26"/>
        </w:rPr>
        <w:t>Chứng chỉ bồi dưỡng kế toán trưởng phải được cơ sở đào tạo, bồi dưỡng tổ chức khoá học bồi dưỡng kế toán trưởng đóng dấu nổi vào giáp lai ảnh của học viên.</w:t>
      </w:r>
    </w:p>
    <w:p w:rsidR="00753C76" w:rsidRPr="00753C76" w:rsidRDefault="00753C76" w:rsidP="00753C76">
      <w:pPr>
        <w:spacing w:after="0" w:line="360" w:lineRule="auto"/>
        <w:rPr>
          <w:rFonts w:ascii="Times New Roman" w:eastAsia="Times New Roman" w:hAnsi="Times New Roman" w:cs="Times New Roman"/>
          <w:b/>
          <w:sz w:val="26"/>
          <w:szCs w:val="26"/>
        </w:rPr>
      </w:pPr>
      <w:r w:rsidRPr="00753C76">
        <w:rPr>
          <w:rFonts w:ascii="Times New Roman" w:eastAsia="Times New Roman" w:hAnsi="Times New Roman" w:cs="Times New Roman"/>
          <w:b/>
          <w:sz w:val="26"/>
          <w:szCs w:val="26"/>
        </w:rPr>
        <w:t xml:space="preserve">Tài liệu tham khảo </w:t>
      </w:r>
    </w:p>
    <w:p w:rsidR="00753C76" w:rsidRPr="00753C76" w:rsidRDefault="00753C76" w:rsidP="00753C76">
      <w:pPr>
        <w:spacing w:after="0" w:line="360" w:lineRule="auto"/>
        <w:rPr>
          <w:rFonts w:ascii="Times New Roman" w:hAnsi="Times New Roman" w:cs="Times New Roman"/>
          <w:color w:val="000000"/>
          <w:sz w:val="26"/>
          <w:szCs w:val="26"/>
          <w:shd w:val="clear" w:color="auto" w:fill="FFFFFF"/>
        </w:rPr>
      </w:pPr>
      <w:r w:rsidRPr="00753C76">
        <w:rPr>
          <w:rFonts w:ascii="Times New Roman" w:eastAsia="Times New Roman" w:hAnsi="Times New Roman" w:cs="Times New Roman"/>
          <w:sz w:val="26"/>
          <w:szCs w:val="26"/>
        </w:rPr>
        <w:t>L</w:t>
      </w:r>
      <w:r w:rsidRPr="00753C76">
        <w:rPr>
          <w:rFonts w:ascii="Times New Roman" w:hAnsi="Times New Roman" w:cs="Times New Roman"/>
          <w:color w:val="000000"/>
          <w:sz w:val="26"/>
          <w:szCs w:val="26"/>
          <w:shd w:val="clear" w:color="auto" w:fill="FFFFFF"/>
        </w:rPr>
        <w:t>uật số: 88/2015/QH13</w:t>
      </w:r>
    </w:p>
    <w:p w:rsidR="00753C76" w:rsidRPr="007F7F87" w:rsidRDefault="00753C76" w:rsidP="00753C76">
      <w:pPr>
        <w:spacing w:after="0" w:line="360" w:lineRule="auto"/>
        <w:rPr>
          <w:rFonts w:ascii="Times New Roman" w:eastAsia="Times New Roman" w:hAnsi="Times New Roman" w:cs="Times New Roman"/>
          <w:sz w:val="26"/>
          <w:szCs w:val="26"/>
        </w:rPr>
      </w:pPr>
      <w:r w:rsidRPr="00753C76">
        <w:rPr>
          <w:rFonts w:ascii="Times New Roman" w:hAnsi="Times New Roman" w:cs="Times New Roman"/>
          <w:sz w:val="26"/>
          <w:szCs w:val="26"/>
        </w:rPr>
        <w:t>Thông tư </w:t>
      </w:r>
      <w:hyperlink r:id="rId9" w:history="1">
        <w:r w:rsidRPr="00753C76">
          <w:rPr>
            <w:rStyle w:val="Hyperlink"/>
            <w:rFonts w:ascii="Times New Roman" w:hAnsi="Times New Roman" w:cs="Times New Roman"/>
            <w:color w:val="auto"/>
            <w:sz w:val="26"/>
            <w:szCs w:val="26"/>
            <w:u w:val="none"/>
          </w:rPr>
          <w:t>199/2011/TT-BTC</w:t>
        </w:r>
      </w:hyperlink>
    </w:p>
    <w:sectPr w:rsidR="00753C76" w:rsidRPr="007F7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B74EF"/>
    <w:multiLevelType w:val="multilevel"/>
    <w:tmpl w:val="A2A2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6022A"/>
    <w:multiLevelType w:val="multilevel"/>
    <w:tmpl w:val="7AC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87"/>
    <w:rsid w:val="00753C76"/>
    <w:rsid w:val="007901CA"/>
    <w:rsid w:val="007F7F87"/>
    <w:rsid w:val="0094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2F04"/>
  <w15:chartTrackingRefBased/>
  <w15:docId w15:val="{72471FCE-18AF-480E-A1A4-A531F1E0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7F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F8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7F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7F87"/>
    <w:rPr>
      <w:color w:val="0000FF"/>
      <w:u w:val="single"/>
    </w:rPr>
  </w:style>
  <w:style w:type="character" w:styleId="Emphasis">
    <w:name w:val="Emphasis"/>
    <w:basedOn w:val="DefaultParagraphFont"/>
    <w:uiPriority w:val="20"/>
    <w:qFormat/>
    <w:rsid w:val="007F7F87"/>
    <w:rPr>
      <w:i/>
      <w:iCs/>
    </w:rPr>
  </w:style>
  <w:style w:type="character" w:styleId="Strong">
    <w:name w:val="Strong"/>
    <w:basedOn w:val="DefaultParagraphFont"/>
    <w:uiPriority w:val="22"/>
    <w:qFormat/>
    <w:rsid w:val="007F7F87"/>
    <w:rPr>
      <w:b/>
      <w:bCs/>
    </w:rPr>
  </w:style>
  <w:style w:type="paragraph" w:customStyle="1" w:styleId="card-text">
    <w:name w:val="card-text"/>
    <w:basedOn w:val="Normal"/>
    <w:rsid w:val="007F7F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261356">
      <w:bodyDiv w:val="1"/>
      <w:marLeft w:val="0"/>
      <w:marRight w:val="0"/>
      <w:marTop w:val="0"/>
      <w:marBottom w:val="0"/>
      <w:divBdr>
        <w:top w:val="none" w:sz="0" w:space="0" w:color="auto"/>
        <w:left w:val="none" w:sz="0" w:space="0" w:color="auto"/>
        <w:bottom w:val="none" w:sz="0" w:space="0" w:color="auto"/>
        <w:right w:val="none" w:sz="0" w:space="0" w:color="auto"/>
      </w:divBdr>
    </w:div>
    <w:div w:id="1194074339">
      <w:bodyDiv w:val="1"/>
      <w:marLeft w:val="0"/>
      <w:marRight w:val="0"/>
      <w:marTop w:val="0"/>
      <w:marBottom w:val="0"/>
      <w:divBdr>
        <w:top w:val="none" w:sz="0" w:space="0" w:color="auto"/>
        <w:left w:val="none" w:sz="0" w:space="0" w:color="auto"/>
        <w:bottom w:val="none" w:sz="0" w:space="0" w:color="auto"/>
        <w:right w:val="none" w:sz="0" w:space="0" w:color="auto"/>
      </w:divBdr>
    </w:div>
    <w:div w:id="2126458080">
      <w:bodyDiv w:val="1"/>
      <w:marLeft w:val="0"/>
      <w:marRight w:val="0"/>
      <w:marTop w:val="0"/>
      <w:marBottom w:val="0"/>
      <w:divBdr>
        <w:top w:val="none" w:sz="0" w:space="0" w:color="auto"/>
        <w:left w:val="none" w:sz="0" w:space="0" w:color="auto"/>
        <w:bottom w:val="none" w:sz="0" w:space="0" w:color="auto"/>
        <w:right w:val="none" w:sz="0" w:space="0" w:color="auto"/>
      </w:divBdr>
      <w:divsChild>
        <w:div w:id="1176118843">
          <w:marLeft w:val="0"/>
          <w:marRight w:val="0"/>
          <w:marTop w:val="0"/>
          <w:marBottom w:val="0"/>
          <w:divBdr>
            <w:top w:val="none" w:sz="0" w:space="0" w:color="auto"/>
            <w:left w:val="none" w:sz="0" w:space="0" w:color="auto"/>
            <w:bottom w:val="none" w:sz="0" w:space="0" w:color="auto"/>
            <w:right w:val="none" w:sz="0" w:space="0" w:color="auto"/>
          </w:divBdr>
          <w:divsChild>
            <w:div w:id="20887644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699017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288812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9623748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5363293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4892262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1249022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202649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2725936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8227050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848922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062901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185997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8762506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8256798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433827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485441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9670372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08507255">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812987264">
          <w:marLeft w:val="0"/>
          <w:marRight w:val="0"/>
          <w:marTop w:val="0"/>
          <w:marBottom w:val="0"/>
          <w:divBdr>
            <w:top w:val="none" w:sz="0" w:space="0" w:color="auto"/>
            <w:left w:val="none" w:sz="0" w:space="0" w:color="auto"/>
            <w:bottom w:val="none" w:sz="0" w:space="0" w:color="auto"/>
            <w:right w:val="none" w:sz="0" w:space="0" w:color="auto"/>
          </w:divBdr>
        </w:div>
        <w:div w:id="2133860574">
          <w:marLeft w:val="0"/>
          <w:marRight w:val="0"/>
          <w:marTop w:val="0"/>
          <w:marBottom w:val="0"/>
          <w:divBdr>
            <w:top w:val="none" w:sz="0" w:space="0" w:color="auto"/>
            <w:left w:val="none" w:sz="0" w:space="0" w:color="auto"/>
            <w:bottom w:val="none" w:sz="0" w:space="0" w:color="auto"/>
            <w:right w:val="none" w:sz="0" w:space="0" w:color="auto"/>
          </w:divBdr>
        </w:div>
        <w:div w:id="2119594466">
          <w:marLeft w:val="0"/>
          <w:marRight w:val="0"/>
          <w:marTop w:val="0"/>
          <w:marBottom w:val="0"/>
          <w:divBdr>
            <w:top w:val="none" w:sz="0" w:space="0" w:color="auto"/>
            <w:left w:val="none" w:sz="0" w:space="0" w:color="auto"/>
            <w:bottom w:val="none" w:sz="0" w:space="0" w:color="auto"/>
            <w:right w:val="none" w:sz="0" w:space="0" w:color="auto"/>
          </w:divBdr>
        </w:div>
        <w:div w:id="10843379">
          <w:marLeft w:val="0"/>
          <w:marRight w:val="0"/>
          <w:marTop w:val="0"/>
          <w:marBottom w:val="0"/>
          <w:divBdr>
            <w:top w:val="none" w:sz="0" w:space="0" w:color="auto"/>
            <w:left w:val="none" w:sz="0" w:space="0" w:color="auto"/>
            <w:bottom w:val="none" w:sz="0" w:space="0" w:color="auto"/>
            <w:right w:val="none" w:sz="0" w:space="0" w:color="auto"/>
          </w:divBdr>
        </w:div>
        <w:div w:id="2073379965">
          <w:marLeft w:val="0"/>
          <w:marRight w:val="0"/>
          <w:marTop w:val="0"/>
          <w:marBottom w:val="0"/>
          <w:divBdr>
            <w:top w:val="none" w:sz="0" w:space="0" w:color="auto"/>
            <w:left w:val="none" w:sz="0" w:space="0" w:color="auto"/>
            <w:bottom w:val="none" w:sz="0" w:space="0" w:color="auto"/>
            <w:right w:val="none" w:sz="0" w:space="0" w:color="auto"/>
          </w:divBdr>
        </w:div>
        <w:div w:id="787162170">
          <w:marLeft w:val="0"/>
          <w:marRight w:val="0"/>
          <w:marTop w:val="0"/>
          <w:marBottom w:val="0"/>
          <w:divBdr>
            <w:top w:val="none" w:sz="0" w:space="0" w:color="auto"/>
            <w:left w:val="none" w:sz="0" w:space="0" w:color="auto"/>
            <w:bottom w:val="none" w:sz="0" w:space="0" w:color="auto"/>
            <w:right w:val="none" w:sz="0" w:space="0" w:color="auto"/>
          </w:divBdr>
        </w:div>
        <w:div w:id="689339068">
          <w:marLeft w:val="0"/>
          <w:marRight w:val="0"/>
          <w:marTop w:val="0"/>
          <w:marBottom w:val="0"/>
          <w:divBdr>
            <w:top w:val="none" w:sz="0" w:space="0" w:color="auto"/>
            <w:left w:val="none" w:sz="0" w:space="0" w:color="auto"/>
            <w:bottom w:val="none" w:sz="0" w:space="0" w:color="auto"/>
            <w:right w:val="none" w:sz="0" w:space="0" w:color="auto"/>
          </w:divBdr>
        </w:div>
        <w:div w:id="283971502">
          <w:marLeft w:val="0"/>
          <w:marRight w:val="0"/>
          <w:marTop w:val="0"/>
          <w:marBottom w:val="0"/>
          <w:divBdr>
            <w:top w:val="none" w:sz="0" w:space="0" w:color="auto"/>
            <w:left w:val="none" w:sz="0" w:space="0" w:color="auto"/>
            <w:bottom w:val="none" w:sz="0" w:space="0" w:color="auto"/>
            <w:right w:val="none" w:sz="0" w:space="0" w:color="auto"/>
          </w:divBdr>
        </w:div>
        <w:div w:id="433718202">
          <w:marLeft w:val="0"/>
          <w:marRight w:val="0"/>
          <w:marTop w:val="0"/>
          <w:marBottom w:val="0"/>
          <w:divBdr>
            <w:top w:val="none" w:sz="0" w:space="0" w:color="auto"/>
            <w:left w:val="none" w:sz="0" w:space="0" w:color="auto"/>
            <w:bottom w:val="none" w:sz="0" w:space="0" w:color="auto"/>
            <w:right w:val="none" w:sz="0" w:space="0" w:color="auto"/>
          </w:divBdr>
        </w:div>
        <w:div w:id="1361206061">
          <w:marLeft w:val="0"/>
          <w:marRight w:val="0"/>
          <w:marTop w:val="0"/>
          <w:marBottom w:val="0"/>
          <w:divBdr>
            <w:top w:val="none" w:sz="0" w:space="0" w:color="auto"/>
            <w:left w:val="none" w:sz="0" w:space="0" w:color="auto"/>
            <w:bottom w:val="none" w:sz="0" w:space="0" w:color="auto"/>
            <w:right w:val="none" w:sz="0" w:space="0" w:color="auto"/>
          </w:divBdr>
        </w:div>
        <w:div w:id="1687442128">
          <w:marLeft w:val="0"/>
          <w:marRight w:val="0"/>
          <w:marTop w:val="0"/>
          <w:marBottom w:val="0"/>
          <w:divBdr>
            <w:top w:val="none" w:sz="0" w:space="0" w:color="auto"/>
            <w:left w:val="none" w:sz="0" w:space="0" w:color="auto"/>
            <w:bottom w:val="none" w:sz="0" w:space="0" w:color="auto"/>
            <w:right w:val="none" w:sz="0" w:space="0" w:color="auto"/>
          </w:divBdr>
        </w:div>
        <w:div w:id="260068287">
          <w:marLeft w:val="0"/>
          <w:marRight w:val="0"/>
          <w:marTop w:val="300"/>
          <w:marBottom w:val="300"/>
          <w:divBdr>
            <w:top w:val="none" w:sz="0" w:space="0" w:color="auto"/>
            <w:left w:val="none" w:sz="0" w:space="0" w:color="auto"/>
            <w:bottom w:val="none" w:sz="0" w:space="0" w:color="auto"/>
            <w:right w:val="none" w:sz="0" w:space="0" w:color="auto"/>
          </w:divBdr>
        </w:div>
        <w:div w:id="567038558">
          <w:marLeft w:val="0"/>
          <w:marRight w:val="0"/>
          <w:marTop w:val="0"/>
          <w:marBottom w:val="0"/>
          <w:divBdr>
            <w:top w:val="none" w:sz="0" w:space="0" w:color="auto"/>
            <w:left w:val="none" w:sz="0" w:space="0" w:color="auto"/>
            <w:bottom w:val="none" w:sz="0" w:space="0" w:color="auto"/>
            <w:right w:val="none" w:sz="0" w:space="0" w:color="auto"/>
          </w:divBdr>
          <w:divsChild>
            <w:div w:id="778835263">
              <w:marLeft w:val="0"/>
              <w:marRight w:val="0"/>
              <w:marTop w:val="0"/>
              <w:marBottom w:val="0"/>
              <w:divBdr>
                <w:top w:val="none" w:sz="0" w:space="0" w:color="auto"/>
                <w:left w:val="none" w:sz="0" w:space="0" w:color="auto"/>
                <w:bottom w:val="none" w:sz="0" w:space="0" w:color="auto"/>
                <w:right w:val="none" w:sz="0" w:space="0" w:color="auto"/>
              </w:divBdr>
              <w:divsChild>
                <w:div w:id="16205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ke-toan/thong-tu-199-2011-tt-btc-bo-tai-chinh-67536-d1.html" TargetMode="External"/><Relationship Id="rId3" Type="http://schemas.openxmlformats.org/officeDocument/2006/relationships/settings" Target="settings.xml"/><Relationship Id="rId7" Type="http://schemas.openxmlformats.org/officeDocument/2006/relationships/hyperlink" Target="https://luatvietnam.vn/ke-toan/thong-tu-199-2011-tt-btc-bo-tai-chinh-67536-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Ke-toan-Kiem-toan/Luat-ke-toan-2015-298369.aspx?anchor=dieu_54" TargetMode="External"/><Relationship Id="rId11" Type="http://schemas.openxmlformats.org/officeDocument/2006/relationships/theme" Target="theme/theme1.xml"/><Relationship Id="rId5" Type="http://schemas.openxmlformats.org/officeDocument/2006/relationships/hyperlink" Target="https://thuvienphapluat.vn/van-ban/Ke-toan-Kiem-toan/Luat-ke-toan-2015-298369.aspx?anchor=dieu_5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vietnam.vn/ke-toan/thong-tu-199-2011-tt-btc-bo-tai-chinh-67536-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2023-11-14T09:17:00Z</dcterms:created>
  <dcterms:modified xsi:type="dcterms:W3CDTF">2023-11-14T09:37:00Z</dcterms:modified>
</cp:coreProperties>
</file>