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B21C" w14:textId="77777777" w:rsidR="0009474C" w:rsidRPr="0009474C" w:rsidRDefault="0009474C" w:rsidP="0009474C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HÀNG HOÁ DỊCH VỤ CHỊU THUẾ SUẤT 0%</w:t>
      </w:r>
    </w:p>
    <w:p w14:paraId="193BC90C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nay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hoá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0%, 5%, 8%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10%. Như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vậy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cụ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thể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mức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 0%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loại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?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viết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sẽ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rõ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nêu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</w:p>
    <w:p w14:paraId="259C81FD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cứ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9 </w:t>
      </w:r>
      <w:hyperlink r:id="rId4" w:tgtFrame="_blank" w:history="1"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Thông </w:t>
        </w:r>
        <w:proofErr w:type="spellStart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>tư</w:t>
        </w:r>
        <w:proofErr w:type="spellEnd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 219/2013/TT-BTC</w:t>
        </w:r>
      </w:hyperlink>
      <w:r w:rsidRPr="0009474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1 </w:t>
      </w:r>
      <w:hyperlink r:id="rId5" w:tgtFrame="_blank" w:history="1"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Thông </w:t>
        </w:r>
        <w:proofErr w:type="spellStart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>tư</w:t>
        </w:r>
        <w:proofErr w:type="spellEnd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 130/2016/TT-BTC</w:t>
        </w:r>
      </w:hyperlink>
      <w:r w:rsidRPr="0009474C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xây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dựng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lắp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đặt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chịu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339C55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57011F0D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0% </w:t>
      </w:r>
      <w:proofErr w:type="spellStart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GTGT</w:t>
      </w:r>
    </w:p>
    <w:p w14:paraId="61111C13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GTGT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tương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9 </w:t>
      </w:r>
      <w:hyperlink r:id="rId6" w:tgtFrame="_blank" w:history="1"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Thông </w:t>
        </w:r>
        <w:proofErr w:type="spellStart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>tư</w:t>
        </w:r>
        <w:proofErr w:type="spellEnd"/>
        <w:r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 219/2013/TT-BTC</w:t>
        </w:r>
      </w:hyperlink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686EF1C5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(1)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033E0FDA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ủy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EF2C647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2AD98D1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tờ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khai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khoản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16 Thông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tư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219/2013/TT-BTC.</w:t>
      </w:r>
    </w:p>
    <w:p w14:paraId="18CC609F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liệu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giao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thương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lệ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phiếu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đóng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gói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giấy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xứ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…;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mua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A36D4E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 xml:space="preserve">(2)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5FA5365B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phi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quan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2325FC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F752816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bay,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0%,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bay,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nhập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xong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thì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thủ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tục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khẩu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C8FB148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(3)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tải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7F90D019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chặng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ra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phù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vé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doanh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18C5114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trường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vận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F0F722A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(4)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ngành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hải</w:t>
      </w:r>
      <w:proofErr w:type="spellEnd"/>
      <w:r w:rsidRPr="0009474C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14:paraId="7E9B7F82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bay,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ga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E779EA8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E0E5365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. Trường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cấp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xuyên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A224A7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Các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phục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chuyến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bay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Việt Nam (passenger service charges).</w:t>
      </w:r>
    </w:p>
    <w:p w14:paraId="55650823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ngành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thuế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suất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0%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cảng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kiện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FF60F04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DAAE04C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tổ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ngoài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lý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sở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cung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hoặc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khác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coi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thanh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toán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ngân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09474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F6BA743" w14:textId="77777777" w:rsidR="0009474C" w:rsidRPr="0009474C" w:rsidRDefault="0009474C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 xml:space="preserve">Tài </w:t>
      </w:r>
      <w:proofErr w:type="spellStart"/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>liệu</w:t>
      </w:r>
      <w:proofErr w:type="spellEnd"/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>tham</w:t>
      </w:r>
      <w:proofErr w:type="spellEnd"/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9474C">
        <w:rPr>
          <w:rFonts w:ascii="Times New Roman" w:eastAsia="Times New Roman" w:hAnsi="Times New Roman" w:cs="Times New Roman"/>
          <w:b/>
          <w:sz w:val="26"/>
          <w:szCs w:val="26"/>
        </w:rPr>
        <w:t>khảo</w:t>
      </w:r>
      <w:proofErr w:type="spellEnd"/>
    </w:p>
    <w:p w14:paraId="3FFCA582" w14:textId="77777777" w:rsidR="0009474C" w:rsidRPr="0009474C" w:rsidRDefault="00D72334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7" w:tgtFrame="_blank" w:history="1"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Thông </w:t>
        </w:r>
        <w:proofErr w:type="spellStart"/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>tư</w:t>
        </w:r>
        <w:proofErr w:type="spellEnd"/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 219/2013/TT-BTC</w:t>
        </w:r>
      </w:hyperlink>
      <w:r w:rsidR="0009474C" w:rsidRPr="0009474C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5A6642D8" w14:textId="77777777" w:rsidR="0009474C" w:rsidRPr="0009474C" w:rsidRDefault="00D72334" w:rsidP="0009474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hyperlink r:id="rId8" w:tgtFrame="_blank" w:history="1"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Thông </w:t>
        </w:r>
        <w:proofErr w:type="spellStart"/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>tư</w:t>
        </w:r>
        <w:proofErr w:type="spellEnd"/>
        <w:r w:rsidR="0009474C" w:rsidRPr="0009474C">
          <w:rPr>
            <w:rFonts w:ascii="Times New Roman" w:eastAsia="Times New Roman" w:hAnsi="Times New Roman" w:cs="Times New Roman"/>
            <w:sz w:val="26"/>
            <w:szCs w:val="26"/>
          </w:rPr>
          <w:t xml:space="preserve"> 130/2016/TT-BTC</w:t>
        </w:r>
      </w:hyperlink>
      <w:r w:rsidR="0009474C" w:rsidRPr="0009474C"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 w:rsidR="0009474C" w:rsidRPr="00094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4C"/>
    <w:rsid w:val="0009474C"/>
    <w:rsid w:val="007901CA"/>
    <w:rsid w:val="00944F8B"/>
    <w:rsid w:val="00D7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53EC"/>
  <w15:chartTrackingRefBased/>
  <w15:docId w15:val="{A93863BC-F2E4-419E-9F96-456D7691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947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947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9474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474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947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4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hue-Phi-Le-Phi/Thong-tu-130-2016-TT-BTC-huong-dan-100-2016-ND-CP-huong-dan-Luat-Thue-gia-tri-gia-tang-Quan-ly-thue-321858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Thue-Phi-Le-Phi/Thong-tu-219-2013-TT-BTC-huong-dan-Luat-thue-gia-tri-gia-tang-va-Nghi-dinh-209-2013-ND-CP-220761.aspx?anchor=dieu_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hue-Phi-Le-Phi/Thong-tu-219-2013-TT-BTC-huong-dan-Luat-thue-gia-tri-gia-tang-va-Nghi-dinh-209-2013-ND-CP-220761.aspx?anchor=dieu_9" TargetMode="External"/><Relationship Id="rId5" Type="http://schemas.openxmlformats.org/officeDocument/2006/relationships/hyperlink" Target="https://thuvienphapluat.vn/van-ban/Thue-Phi-Le-Phi/Thong-tu-130-2016-TT-BTC-huong-dan-100-2016-ND-CP-huong-dan-Luat-Thue-gia-tri-gia-tang-Quan-ly-thue-321858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uvienphapluat.vn/van-ban/Thue-Phi-Le-Phi/Thong-tu-219-2013-TT-BTC-huong-dan-Luat-thue-gia-tri-gia-tang-va-Nghi-dinh-209-2013-ND-CP-220761.aspx?anchor=dieu_9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dcterms:created xsi:type="dcterms:W3CDTF">2024-01-15T03:20:00Z</dcterms:created>
  <dcterms:modified xsi:type="dcterms:W3CDTF">2024-01-15T03:20:00Z</dcterms:modified>
</cp:coreProperties>
</file>