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A6D2" w14:textId="6DF47379" w:rsidR="00E735D9" w:rsidRPr="00E735D9" w:rsidRDefault="00E735D9" w:rsidP="00E735D9">
      <w:pPr>
        <w:spacing w:before="12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E735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NHỮNG</w:t>
      </w:r>
      <w:r w:rsidRPr="00E735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vi-VN"/>
        </w:rPr>
        <w:t xml:space="preserve"> ĐIỀU CẦN BIẾT VỀ </w:t>
      </w:r>
      <w:r w:rsidRPr="00E735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THUẾ TÀI NGUYÊN</w:t>
      </w:r>
    </w:p>
    <w:p w14:paraId="6D8B84ED" w14:textId="77777777" w:rsidR="00E735D9" w:rsidRPr="00E735D9" w:rsidRDefault="00E735D9" w:rsidP="00E735D9">
      <w:pPr>
        <w:pStyle w:val="Heading2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1.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Khái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quát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về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nguyên</w:t>
      </w:r>
      <w:proofErr w:type="spellEnd"/>
    </w:p>
    <w:p w14:paraId="29A32985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1.1.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gì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737CA7AF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Hiện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nay,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chưa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ban </w:t>
      </w:r>
      <w:proofErr w:type="spellStart"/>
      <w:r w:rsidRPr="00E735D9">
        <w:rPr>
          <w:color w:val="000000" w:themeColor="text1"/>
          <w:sz w:val="26"/>
          <w:szCs w:val="26"/>
        </w:rPr>
        <w:t>hành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văn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nào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thống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nhất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về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niệm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cụ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thể</w:t>
      </w:r>
      <w:proofErr w:type="spellEnd"/>
      <w:r w:rsidRPr="00E735D9">
        <w:rPr>
          <w:color w:val="000000" w:themeColor="text1"/>
          <w:sz w:val="26"/>
          <w:szCs w:val="26"/>
        </w:rPr>
        <w:t xml:space="preserve">. </w:t>
      </w:r>
      <w:proofErr w:type="spellStart"/>
      <w:r w:rsidRPr="00E735D9">
        <w:rPr>
          <w:color w:val="000000" w:themeColor="text1"/>
          <w:sz w:val="26"/>
          <w:szCs w:val="26"/>
        </w:rPr>
        <w:t>Tuy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nhiên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từ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những</w:t>
      </w:r>
      <w:proofErr w:type="spellEnd"/>
      <w:r w:rsidRPr="00E735D9">
        <w:rPr>
          <w:color w:val="000000" w:themeColor="text1"/>
          <w:sz w:val="26"/>
          <w:szCs w:val="26"/>
        </w:rPr>
        <w:t xml:space="preserve"> ý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tìm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kiếm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kết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chất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của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chúng</w:t>
      </w:r>
      <w:proofErr w:type="spellEnd"/>
      <w:r w:rsidRPr="00E735D9">
        <w:rPr>
          <w:color w:val="000000" w:themeColor="text1"/>
          <w:sz w:val="26"/>
          <w:szCs w:val="26"/>
        </w:rPr>
        <w:t xml:space="preserve"> ta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thể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hiểu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đơn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như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sau</w:t>
      </w:r>
      <w:proofErr w:type="spellEnd"/>
      <w:r w:rsidRPr="00E735D9">
        <w:rPr>
          <w:color w:val="000000" w:themeColor="text1"/>
          <w:sz w:val="26"/>
          <w:szCs w:val="26"/>
        </w:rPr>
        <w:t>:</w:t>
      </w:r>
    </w:p>
    <w:p w14:paraId="1039D2A6" w14:textId="77777777" w:rsidR="00E735D9" w:rsidRPr="00E735D9" w:rsidRDefault="00E735D9" w:rsidP="00E735D9">
      <w:pPr>
        <w:pStyle w:val="NormalWeb"/>
        <w:shd w:val="clear" w:color="auto" w:fill="F9F9F9"/>
        <w:spacing w:before="120" w:beforeAutospacing="0" w:after="120" w:afterAutospacing="0" w:line="276" w:lineRule="auto"/>
        <w:jc w:val="both"/>
        <w:rPr>
          <w:i/>
          <w:iCs/>
          <w:color w:val="000000" w:themeColor="text1"/>
          <w:sz w:val="26"/>
          <w:szCs w:val="26"/>
        </w:rPr>
      </w:pPr>
      <w:proofErr w:type="spellStart"/>
      <w:r w:rsidRPr="00E735D9">
        <w:rPr>
          <w:i/>
          <w:iCs/>
          <w:color w:val="000000" w:themeColor="text1"/>
          <w:sz w:val="26"/>
          <w:szCs w:val="26"/>
        </w:rPr>
        <w:t>Thuế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tài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nguyên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là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loại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thuế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gián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đối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cần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đóng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thuế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tài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nguyên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là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các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cá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nhân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tổ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chức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có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hoạt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động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khai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thác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tài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nguyên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theo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quy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định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pháp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luật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.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Thuế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tài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nguyên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mang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đặc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trưng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thuế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gián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thu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chính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là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sự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điều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tiết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về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hoạt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động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khai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thác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tài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nguyên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thiên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nhiên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đất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i/>
          <w:iCs/>
          <w:color w:val="000000" w:themeColor="text1"/>
          <w:sz w:val="26"/>
          <w:szCs w:val="26"/>
        </w:rPr>
        <w:t>nước</w:t>
      </w:r>
      <w:proofErr w:type="spellEnd"/>
      <w:r w:rsidRPr="00E735D9">
        <w:rPr>
          <w:i/>
          <w:iCs/>
          <w:color w:val="000000" w:themeColor="text1"/>
          <w:sz w:val="26"/>
          <w:szCs w:val="26"/>
        </w:rPr>
        <w:t>.</w:t>
      </w:r>
    </w:p>
    <w:p w14:paraId="7CCE93CF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1.3. Đ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ặc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</w:p>
    <w:p w14:paraId="1C0956AD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Những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điểm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nổi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bật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của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color w:val="000000" w:themeColor="text1"/>
          <w:sz w:val="26"/>
          <w:szCs w:val="26"/>
        </w:rPr>
        <w:t>gồm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những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điểm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sau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đây</w:t>
      </w:r>
      <w:proofErr w:type="spellEnd"/>
      <w:r w:rsidRPr="00E735D9">
        <w:rPr>
          <w:color w:val="000000" w:themeColor="text1"/>
          <w:sz w:val="26"/>
          <w:szCs w:val="26"/>
        </w:rPr>
        <w:t>:</w:t>
      </w:r>
    </w:p>
    <w:p w14:paraId="2D4EE2AC" w14:textId="77777777" w:rsidR="00E735D9" w:rsidRPr="00E735D9" w:rsidRDefault="00E735D9" w:rsidP="00E735D9">
      <w:pPr>
        <w:numPr>
          <w:ilvl w:val="0"/>
          <w:numId w:val="2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65AA053" w14:textId="77777777" w:rsidR="00E735D9" w:rsidRPr="00E735D9" w:rsidRDefault="00E735D9" w:rsidP="00E735D9">
      <w:pPr>
        <w:numPr>
          <w:ilvl w:val="0"/>
          <w:numId w:val="2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tổng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đích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C560B4" w14:textId="77777777" w:rsidR="00E735D9" w:rsidRPr="00E735D9" w:rsidRDefault="00E735D9" w:rsidP="00E735D9">
      <w:pPr>
        <w:numPr>
          <w:ilvl w:val="0"/>
          <w:numId w:val="2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cấu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bởi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81B96FC" w14:textId="77777777" w:rsidR="00E735D9" w:rsidRPr="00E735D9" w:rsidRDefault="00E735D9" w:rsidP="00E735D9">
      <w:pPr>
        <w:numPr>
          <w:ilvl w:val="0"/>
          <w:numId w:val="2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7C00DD" w14:textId="77777777" w:rsidR="00E735D9" w:rsidRPr="00E735D9" w:rsidRDefault="00E735D9" w:rsidP="00E735D9">
      <w:pPr>
        <w:pStyle w:val="Heading2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chịu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nguyên</w:t>
      </w:r>
      <w:proofErr w:type="spellEnd"/>
    </w:p>
    <w:p w14:paraId="34FCB74F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Những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chịu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color w:val="000000" w:themeColor="text1"/>
          <w:sz w:val="26"/>
          <w:szCs w:val="26"/>
        </w:rPr>
        <w:t>gồm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tất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cả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loại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thuộc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lãnh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Quốc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gia</w:t>
      </w:r>
      <w:proofErr w:type="spellEnd"/>
      <w:r w:rsidRPr="00E735D9">
        <w:rPr>
          <w:color w:val="000000" w:themeColor="text1"/>
          <w:sz w:val="26"/>
          <w:szCs w:val="26"/>
        </w:rPr>
        <w:t xml:space="preserve"> (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ở </w:t>
      </w:r>
      <w:proofErr w:type="spellStart"/>
      <w:r w:rsidRPr="00E735D9">
        <w:rPr>
          <w:color w:val="000000" w:themeColor="text1"/>
          <w:sz w:val="26"/>
          <w:szCs w:val="26"/>
        </w:rPr>
        <w:t>đất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liền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đảo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từ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lãnh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khu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vực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tiếp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giáp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lãnh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vùng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quyền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thềm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lục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địa</w:t>
      </w:r>
      <w:proofErr w:type="spellEnd"/>
      <w:r w:rsidRPr="00E735D9">
        <w:rPr>
          <w:color w:val="000000" w:themeColor="text1"/>
          <w:sz w:val="26"/>
          <w:szCs w:val="26"/>
        </w:rPr>
        <w:t xml:space="preserve">)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rõ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nội</w:t>
      </w:r>
      <w:proofErr w:type="spellEnd"/>
      <w:r w:rsidRPr="00E735D9">
        <w:rPr>
          <w:color w:val="000000" w:themeColor="text1"/>
          <w:sz w:val="26"/>
          <w:szCs w:val="26"/>
        </w:rPr>
        <w:t xml:space="preserve"> dung </w:t>
      </w:r>
      <w:proofErr w:type="spellStart"/>
      <w:r w:rsidRPr="00E735D9">
        <w:rPr>
          <w:color w:val="000000" w:themeColor="text1"/>
          <w:sz w:val="26"/>
          <w:szCs w:val="26"/>
        </w:rPr>
        <w:t>thuộc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Luật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2009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</w:t>
      </w:r>
      <w:proofErr w:type="spellEnd"/>
      <w:r w:rsidRPr="00E735D9">
        <w:rPr>
          <w:color w:val="000000" w:themeColor="text1"/>
          <w:sz w:val="26"/>
          <w:szCs w:val="26"/>
        </w:rPr>
        <w:t xml:space="preserve"> 152/2014/TT-BTC bao </w:t>
      </w:r>
      <w:proofErr w:type="spellStart"/>
      <w:r w:rsidRPr="00E735D9">
        <w:rPr>
          <w:color w:val="000000" w:themeColor="text1"/>
          <w:sz w:val="26"/>
          <w:szCs w:val="26"/>
        </w:rPr>
        <w:t>gồm</w:t>
      </w:r>
      <w:proofErr w:type="spellEnd"/>
      <w:r w:rsidRPr="00E735D9">
        <w:rPr>
          <w:color w:val="000000" w:themeColor="text1"/>
          <w:sz w:val="26"/>
          <w:szCs w:val="26"/>
        </w:rPr>
        <w:t>:</w:t>
      </w:r>
    </w:p>
    <w:p w14:paraId="5E1134C1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khoáng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phi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521AEE6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rừng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cây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dân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khoanh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sa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quế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thảo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, …)</w:t>
      </w:r>
    </w:p>
    <w:p w14:paraId="083F7EC8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biển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đảo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lãnh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thổ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Nam bao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EF6E3D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nông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lâm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ngư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biển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2A64DAC0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Yến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sào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nhiên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yến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sào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nuôi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7A28C140" w14:textId="77777777" w:rsidR="00E735D9" w:rsidRPr="00E735D9" w:rsidRDefault="00E735D9" w:rsidP="00E735D9">
      <w:pPr>
        <w:numPr>
          <w:ilvl w:val="0"/>
          <w:numId w:val="3"/>
        </w:numPr>
        <w:spacing w:before="120" w:after="120" w:line="276" w:lineRule="auto"/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Ủy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E735D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88ABBB9" w14:textId="77777777" w:rsidR="00E735D9" w:rsidRPr="00E735D9" w:rsidRDefault="00E735D9" w:rsidP="00E735D9">
      <w:pPr>
        <w:pStyle w:val="Heading2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Người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nộp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nguyên</w:t>
      </w:r>
      <w:proofErr w:type="spellEnd"/>
    </w:p>
    <w:p w14:paraId="4D506B44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thực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color w:val="000000" w:themeColor="text1"/>
          <w:sz w:val="26"/>
          <w:szCs w:val="26"/>
        </w:rPr>
        <w:t>gồm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động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đến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từ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chịu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.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rõ</w:t>
      </w:r>
      <w:proofErr w:type="spellEnd"/>
      <w:r w:rsidRPr="00E735D9">
        <w:rPr>
          <w:color w:val="000000" w:themeColor="text1"/>
          <w:sz w:val="26"/>
          <w:szCs w:val="26"/>
        </w:rPr>
        <w:t xml:space="preserve"> qua </w:t>
      </w:r>
      <w:proofErr w:type="spellStart"/>
      <w:r w:rsidRPr="00E735D9">
        <w:rPr>
          <w:color w:val="000000" w:themeColor="text1"/>
          <w:sz w:val="26"/>
          <w:szCs w:val="26"/>
        </w:rPr>
        <w:t>các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trường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dưới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đây</w:t>
      </w:r>
      <w:proofErr w:type="spellEnd"/>
      <w:r w:rsidRPr="00E735D9">
        <w:rPr>
          <w:color w:val="000000" w:themeColor="text1"/>
          <w:sz w:val="26"/>
          <w:szCs w:val="26"/>
        </w:rPr>
        <w:t>:</w:t>
      </w:r>
    </w:p>
    <w:p w14:paraId="212FFF59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3.1.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hoạt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khoáng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</w:p>
    <w:p w14:paraId="4963C589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động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khoáng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thực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hộ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quan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thẩm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quyền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cấp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Giấy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khoáng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139DE832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Trường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quan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nước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thẩm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quyền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cấp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giấy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khoáng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hộ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riêng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về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dựa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văn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thỏa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thuận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của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cùng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tác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2BE18E52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trường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quan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nước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thẩm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quyền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cấp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giấy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khoáng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sau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đó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bàn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giao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một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đơn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vị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mỗi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đơn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vị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thực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khoáng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071DB68F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3.2.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liên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doanh</w:t>
      </w:r>
      <w:proofErr w:type="spellEnd"/>
    </w:p>
    <w:p w14:paraId="19F14C77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nghiệp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thành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lập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dựa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sở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nghiệp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chính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590F33C4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trường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bao </w:t>
      </w:r>
      <w:proofErr w:type="spellStart"/>
      <w:r w:rsidRPr="00E735D9">
        <w:rPr>
          <w:color w:val="000000" w:themeColor="text1"/>
          <w:sz w:val="26"/>
          <w:szCs w:val="26"/>
        </w:rPr>
        <w:t>gồm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nghiệp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Việt</w:t>
      </w:r>
      <w:proofErr w:type="spellEnd"/>
      <w:r w:rsidRPr="00E735D9">
        <w:rPr>
          <w:color w:val="000000" w:themeColor="text1"/>
          <w:sz w:val="26"/>
          <w:szCs w:val="26"/>
        </w:rPr>
        <w:t xml:space="preserve"> Nam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nghiệp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nước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ngoài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trách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nhiệm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phụ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thuộc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sự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thỏa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thuận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xác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cụ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thể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văn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doanh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của</w:t>
      </w:r>
      <w:proofErr w:type="spellEnd"/>
      <w:r w:rsidRPr="00E735D9">
        <w:rPr>
          <w:color w:val="000000" w:themeColor="text1"/>
          <w:sz w:val="26"/>
          <w:szCs w:val="26"/>
        </w:rPr>
        <w:t xml:space="preserve"> 2 </w:t>
      </w:r>
      <w:proofErr w:type="spellStart"/>
      <w:r w:rsidRPr="00E735D9">
        <w:rPr>
          <w:color w:val="000000" w:themeColor="text1"/>
          <w:sz w:val="26"/>
          <w:szCs w:val="26"/>
        </w:rPr>
        <w:t>bên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3741CB6F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3.3.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nhưng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quá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trình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</w:p>
    <w:p w14:paraId="72262402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nhận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thầu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nhưng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trình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vi </w:t>
      </w:r>
      <w:proofErr w:type="spellStart"/>
      <w:r w:rsidRPr="00E735D9">
        <w:rPr>
          <w:color w:val="000000" w:themeColor="text1"/>
          <w:sz w:val="26"/>
          <w:szCs w:val="26"/>
        </w:rPr>
        <w:t>phạm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của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pháp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luật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việc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cần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kê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địa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phương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3C4053E4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3.4.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nước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thủy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</w:p>
    <w:p w14:paraId="0ADF32B7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, </w:t>
      </w:r>
      <w:proofErr w:type="spellStart"/>
      <w:r w:rsidRPr="00E735D9">
        <w:rPr>
          <w:color w:val="000000" w:themeColor="text1"/>
          <w:sz w:val="26"/>
          <w:szCs w:val="26"/>
        </w:rPr>
        <w:t>cá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nhân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sử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dụng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nước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từ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trình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thủy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để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người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chịu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. </w:t>
      </w: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trường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hợp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trình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thủy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cung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cấp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nước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để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xuất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sinh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sử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dụng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mục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đích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chịu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tổ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quản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lý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công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trình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thủy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lợi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2FA944A3" w14:textId="77777777" w:rsidR="00E735D9" w:rsidRPr="00E735D9" w:rsidRDefault="00E735D9" w:rsidP="00E735D9">
      <w:pPr>
        <w:pStyle w:val="Heading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3.5.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bị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cấm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hoặc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trái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phép</w:t>
      </w:r>
      <w:proofErr w:type="spellEnd"/>
    </w:p>
    <w:p w14:paraId="0BBAF6DD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Những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nhiên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bị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cấm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hoặc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quá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trình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thác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bị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bắt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giữ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thì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tiến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hành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tịch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tượng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chịu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phép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mở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bán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và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thực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hiện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khai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sau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mỗi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lần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phát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sinh</w:t>
      </w:r>
      <w:proofErr w:type="spellEnd"/>
      <w:r w:rsidRPr="00E735D9">
        <w:rPr>
          <w:color w:val="000000" w:themeColor="text1"/>
          <w:sz w:val="26"/>
          <w:szCs w:val="26"/>
        </w:rPr>
        <w:t>.</w:t>
      </w:r>
    </w:p>
    <w:p w14:paraId="1E9D2101" w14:textId="77777777" w:rsidR="00E735D9" w:rsidRPr="00E735D9" w:rsidRDefault="00E735D9" w:rsidP="00E735D9">
      <w:pPr>
        <w:pStyle w:val="Heading2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Phương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pháp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xác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định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thuế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tài</w:t>
      </w:r>
      <w:proofErr w:type="spellEnd"/>
      <w:r w:rsidRPr="00E735D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E735D9">
        <w:rPr>
          <w:rFonts w:ascii="Times New Roman" w:hAnsi="Times New Roman" w:cs="Times New Roman"/>
          <w:b/>
          <w:bCs/>
          <w:color w:val="000000" w:themeColor="text1"/>
        </w:rPr>
        <w:t>nguyên</w:t>
      </w:r>
      <w:proofErr w:type="spellEnd"/>
    </w:p>
    <w:p w14:paraId="0D07D6FE" w14:textId="55FECF9C" w:rsidR="00E735D9" w:rsidRPr="00E735D9" w:rsidRDefault="00E735D9" w:rsidP="00E735D9">
      <w:pPr>
        <w:pStyle w:val="NormalWeb"/>
        <w:spacing w:before="120" w:beforeAutospacing="0" w:after="120" w:afterAutospacing="0" w:line="276" w:lineRule="auto"/>
        <w:rPr>
          <w:color w:val="000000" w:themeColor="text1"/>
          <w:sz w:val="26"/>
          <w:szCs w:val="26"/>
        </w:rPr>
      </w:pPr>
    </w:p>
    <w:p w14:paraId="00CF8786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Tính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phải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nộp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trong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kỳ</w:t>
      </w:r>
      <w:proofErr w:type="spellEnd"/>
      <w:r w:rsidRPr="00E735D9">
        <w:rPr>
          <w:color w:val="000000" w:themeColor="text1"/>
          <w:sz w:val="26"/>
          <w:szCs w:val="26"/>
        </w:rPr>
        <w:t>: 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416"/>
        <w:gridCol w:w="2297"/>
        <w:gridCol w:w="356"/>
        <w:gridCol w:w="2317"/>
        <w:gridCol w:w="356"/>
        <w:gridCol w:w="2021"/>
      </w:tblGrid>
      <w:tr w:rsidR="00E735D9" w:rsidRPr="00E735D9" w14:paraId="2258066F" w14:textId="77777777" w:rsidTr="00E735D9"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8ECA77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FA0634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=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CEF76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0B800B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3C21B4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E5CBF6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CE607A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suất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</w:p>
        </w:tc>
      </w:tr>
    </w:tbl>
    <w:p w14:paraId="25FB8932" w14:textId="77777777" w:rsidR="00E735D9" w:rsidRPr="00E735D9" w:rsidRDefault="00E735D9" w:rsidP="00E735D9">
      <w:pPr>
        <w:pStyle w:val="NormalWeb"/>
        <w:spacing w:before="120" w:beforeAutospacing="0" w:after="120" w:afterAutospacing="0"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E735D9">
        <w:rPr>
          <w:color w:val="000000" w:themeColor="text1"/>
          <w:sz w:val="26"/>
          <w:szCs w:val="26"/>
        </w:rPr>
        <w:t>Tính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thuế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theo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mức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được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ấn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định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đối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với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từng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loại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tài</w:t>
      </w:r>
      <w:proofErr w:type="spellEnd"/>
      <w:r w:rsidRPr="00E735D9">
        <w:rPr>
          <w:color w:val="000000" w:themeColor="text1"/>
          <w:sz w:val="26"/>
          <w:szCs w:val="26"/>
        </w:rPr>
        <w:t xml:space="preserve"> </w:t>
      </w:r>
      <w:proofErr w:type="spellStart"/>
      <w:r w:rsidRPr="00E735D9">
        <w:rPr>
          <w:color w:val="000000" w:themeColor="text1"/>
          <w:sz w:val="26"/>
          <w:szCs w:val="26"/>
        </w:rPr>
        <w:t>nguyên</w:t>
      </w:r>
      <w:proofErr w:type="spellEnd"/>
      <w:r w:rsidRPr="00E735D9">
        <w:rPr>
          <w:color w:val="000000" w:themeColor="text1"/>
          <w:sz w:val="26"/>
          <w:szCs w:val="26"/>
        </w:rPr>
        <w:t>: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416"/>
        <w:gridCol w:w="2398"/>
        <w:gridCol w:w="356"/>
        <w:gridCol w:w="4476"/>
      </w:tblGrid>
      <w:tr w:rsidR="00E735D9" w:rsidRPr="00E735D9" w14:paraId="2FD08263" w14:textId="77777777" w:rsidTr="00E735D9"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CB17D5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5E29F6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=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7C8534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0EF6A1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8570E" w14:textId="77777777" w:rsidR="00E735D9" w:rsidRPr="00E735D9" w:rsidRDefault="00E735D9" w:rsidP="00E735D9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thuế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735D9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thác</w:t>
            </w:r>
            <w:proofErr w:type="spellEnd"/>
          </w:p>
        </w:tc>
      </w:tr>
    </w:tbl>
    <w:p w14:paraId="6D26E2AF" w14:textId="77777777" w:rsidR="00E735D9" w:rsidRPr="00E735D9" w:rsidRDefault="00E735D9" w:rsidP="00E735D9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869422" w14:textId="77777777" w:rsidR="00E735D9" w:rsidRDefault="00E735D9" w:rsidP="00E735D9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GV</w:t>
      </w:r>
      <w:r>
        <w:rPr>
          <w:rFonts w:ascii="Times New Roman" w:hAnsi="Times New Roman" w:cs="Times New Roman"/>
          <w:sz w:val="26"/>
          <w:szCs w:val="26"/>
          <w:lang w:val="vi-VN"/>
        </w:rPr>
        <w:t>: Nguyễn Thị Đoan Trang</w:t>
      </w:r>
    </w:p>
    <w:p w14:paraId="34EDA016" w14:textId="77777777" w:rsidR="00E735D9" w:rsidRDefault="00E735D9" w:rsidP="00E735D9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Tài liệu tham khảo:</w:t>
      </w:r>
    </w:p>
    <w:p w14:paraId="3465C09A" w14:textId="77777777" w:rsidR="00E735D9" w:rsidRPr="00E735D9" w:rsidRDefault="00E735D9" w:rsidP="00E735D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</w:pPr>
      <w:hyperlink r:id="rId5" w:history="1">
        <w:r w:rsidRPr="00E735D9">
          <w:rPr>
            <w:rFonts w:ascii="Times New Roman" w:eastAsia="Times New Roman" w:hAnsi="Times New Roman" w:cs="Times New Roman"/>
            <w:i/>
            <w:iCs/>
            <w:color w:val="222222"/>
          </w:rPr>
          <w:t>https://www.meinvoice.vn</w:t>
        </w:r>
      </w:hyperlink>
    </w:p>
    <w:p w14:paraId="3DFFF733" w14:textId="77777777" w:rsidR="00E735D9" w:rsidRPr="00E735D9" w:rsidRDefault="00E735D9" w:rsidP="00E735D9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</w:pP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Luật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Thuế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tài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nguyên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2009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và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Thông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</w:t>
      </w:r>
      <w:proofErr w:type="spellStart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tư</w:t>
      </w:r>
      <w:proofErr w:type="spellEnd"/>
      <w:r w:rsidRPr="00E735D9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 xml:space="preserve"> 152/2014/TT-BTC</w:t>
      </w:r>
    </w:p>
    <w:p w14:paraId="76CD53B4" w14:textId="77777777" w:rsidR="00E735D9" w:rsidRPr="00E735D9" w:rsidRDefault="00E735D9" w:rsidP="00E735D9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735D9" w:rsidRPr="00E73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AD3"/>
    <w:multiLevelType w:val="multilevel"/>
    <w:tmpl w:val="D8CE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40B2C"/>
    <w:multiLevelType w:val="multilevel"/>
    <w:tmpl w:val="9D7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E4F2E"/>
    <w:multiLevelType w:val="multilevel"/>
    <w:tmpl w:val="B73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810F6"/>
    <w:multiLevelType w:val="hybridMultilevel"/>
    <w:tmpl w:val="786A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D9"/>
    <w:rsid w:val="009F2FED"/>
    <w:rsid w:val="00E7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97FEEA"/>
  <w15:chartTrackingRefBased/>
  <w15:docId w15:val="{5CCD0C8B-DE22-2A48-9A53-C240EEC7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5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5D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E735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735D9"/>
    <w:rPr>
      <w:b/>
      <w:bCs/>
    </w:rPr>
  </w:style>
  <w:style w:type="character" w:customStyle="1" w:styleId="apple-converted-space">
    <w:name w:val="apple-converted-space"/>
    <w:basedOn w:val="DefaultParagraphFont"/>
    <w:rsid w:val="00E735D9"/>
  </w:style>
  <w:style w:type="character" w:styleId="Hyperlink">
    <w:name w:val="Hyperlink"/>
    <w:basedOn w:val="DefaultParagraphFont"/>
    <w:uiPriority w:val="99"/>
    <w:semiHidden/>
    <w:unhideWhenUsed/>
    <w:rsid w:val="00E735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595">
          <w:blockQuote w:val="1"/>
          <w:marLeft w:val="300"/>
          <w:marRight w:val="30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invoice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2023-10-14T09:22:00Z</dcterms:created>
  <dcterms:modified xsi:type="dcterms:W3CDTF">2023-10-14T09:28:00Z</dcterms:modified>
</cp:coreProperties>
</file>