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31F0" w14:textId="77777777" w:rsidR="00075BE6" w:rsidRDefault="00075BE6" w:rsidP="00075BE6">
      <w:pPr>
        <w:spacing w:after="0" w:line="360" w:lineRule="auto"/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14:paraId="238E39C2" w14:textId="456631DB" w:rsidR="00075BE6" w:rsidRDefault="00075BE6" w:rsidP="00075BE6">
      <w:pPr>
        <w:spacing w:after="0" w:line="360" w:lineRule="auto"/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MỘT SỐ VẤN ĐỀ CÓ LIÊN QUAN VỀ THUẾ THU NHẬP CÁ NHÂN</w:t>
      </w:r>
    </w:p>
    <w:p w14:paraId="7C938103" w14:textId="49C4D943" w:rsidR="00075BE6" w:rsidRDefault="007A6271" w:rsidP="009E23FC">
      <w:pPr>
        <w:spacing w:after="0" w:line="360" w:lineRule="auto"/>
        <w:ind w:left="1440" w:firstLine="720"/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Nguyễn Thị Khánh Vân- Khoa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kế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toán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–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Đại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học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Duy Tân</w:t>
      </w:r>
    </w:p>
    <w:p w14:paraId="1FCFCCE3" w14:textId="77777777" w:rsidR="007A6271" w:rsidRDefault="007A6271" w:rsidP="00075BE6">
      <w:pPr>
        <w:spacing w:after="0" w:line="360" w:lineRule="auto"/>
        <w:rPr>
          <w:rStyle w:val="Strong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14:paraId="72485055" w14:textId="761EF2DE" w:rsidR="00075BE6" w:rsidRDefault="00075BE6" w:rsidP="007A62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A627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trực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tính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nộp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sau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đã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trừ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khoản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miễn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khoản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giảm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trừ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gia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cảnh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cá</w:t>
      </w:r>
      <w:proofErr w:type="spellEnd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nhân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một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trong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những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nguồn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quan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trọng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ngân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sách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nghĩa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vụ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quyền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lợi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mỗi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dân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nhằm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góp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phần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sự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phát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triển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nước</w:t>
      </w:r>
      <w:proofErr w:type="spellEnd"/>
      <w:r w:rsidRP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  <w:r w:rsidR="007A627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</w:t>
      </w:r>
      <w:proofErr w:type="spellEnd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xây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dựng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nguyên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tắc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khả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nộp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</w:t>
      </w:r>
      <w:proofErr w:type="spellEnd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7A6271" w:rsidRPr="007A627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đánh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những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thấp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vừa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đủ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để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nuôi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sống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thân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gia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đình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ở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mức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cần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thiết</w:t>
      </w:r>
      <w:proofErr w:type="spellEnd"/>
      <w:r w:rsidRPr="00075B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1C5827F6" w14:textId="77777777" w:rsidR="007A6271" w:rsidRPr="00075BE6" w:rsidRDefault="007A6271" w:rsidP="007A62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5B3EC151" w14:textId="2F4808B9" w:rsidR="00075BE6" w:rsidRPr="00075BE6" w:rsidRDefault="00075BE6" w:rsidP="00075BE6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tượng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nộp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118B24C2" w14:textId="3F712271" w:rsidR="00075BE6" w:rsidRPr="00075BE6" w:rsidRDefault="00075BE6" w:rsidP="00075BE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20DE246" w14:textId="77777777" w:rsidR="00075BE6" w:rsidRPr="00075BE6" w:rsidRDefault="00075BE6" w:rsidP="00075BE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9AE48F6" w14:textId="77777777" w:rsidR="00075BE6" w:rsidRPr="00075BE6" w:rsidRDefault="00075BE6" w:rsidP="00075BE6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thổ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31BB50" w14:textId="77777777" w:rsidR="00075BE6" w:rsidRPr="00075BE6" w:rsidRDefault="00075BE6" w:rsidP="00075BE6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4EBE3DF" w14:textId="77777777" w:rsidR="00075BE6" w:rsidRPr="00075BE6" w:rsidRDefault="00075BE6" w:rsidP="00075BE6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Cách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tính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7891CCEE" w14:textId="16A97EF7" w:rsidR="00075BE6" w:rsidRPr="00075BE6" w:rsidRDefault="00075BE6" w:rsidP="00075BE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dành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2873963" w14:textId="77777777" w:rsidR="00075BE6" w:rsidRPr="00075BE6" w:rsidRDefault="00075BE6" w:rsidP="00075BE6">
      <w:pPr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lũy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(HĐLĐ)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lên</w:t>
      </w:r>
      <w:proofErr w:type="spellEnd"/>
    </w:p>
    <w:p w14:paraId="58B16D6B" w14:textId="77777777" w:rsidR="00075BE6" w:rsidRPr="00075BE6" w:rsidRDefault="00075BE6" w:rsidP="00075BE6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Khấu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10%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dành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HĐLĐ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HĐLĐ</w:t>
      </w:r>
    </w:p>
    <w:p w14:paraId="29BF95A3" w14:textId="77777777" w:rsidR="00075BE6" w:rsidRPr="00075BE6" w:rsidRDefault="00075BE6" w:rsidP="00075BE6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Khấu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20%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5DC5A0B" w14:textId="4EEC0EF5" w:rsidR="00075BE6" w:rsidRPr="00075BE6" w:rsidRDefault="00075BE6" w:rsidP="00075BE6">
      <w:pPr>
        <w:pStyle w:val="Heading4"/>
        <w:spacing w:before="0" w:line="36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Công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thức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tính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chung</w:t>
      </w:r>
      <w:proofErr w:type="spellEnd"/>
      <w:r w:rsidRPr="00075BE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:</w:t>
      </w:r>
    </w:p>
    <w:p w14:paraId="61772AF1" w14:textId="06D402CD" w:rsidR="00075BE6" w:rsidRPr="00075BE6" w:rsidRDefault="00075BE6" w:rsidP="00075BE6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(1)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phải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nộp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= Thu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tính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x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suất</w:t>
      </w:r>
      <w:proofErr w:type="spellEnd"/>
    </w:p>
    <w:p w14:paraId="33B73C50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r w:rsidRPr="00075BE6">
        <w:rPr>
          <w:color w:val="000000"/>
          <w:sz w:val="26"/>
          <w:szCs w:val="26"/>
        </w:rPr>
        <w:lastRenderedPageBreak/>
        <w:t xml:space="preserve">Trong </w:t>
      </w:r>
      <w:proofErr w:type="spellStart"/>
      <w:r w:rsidRPr="00075BE6">
        <w:rPr>
          <w:color w:val="000000"/>
          <w:sz w:val="26"/>
          <w:szCs w:val="26"/>
        </w:rPr>
        <w:t>đó</w:t>
      </w:r>
      <w:proofErr w:type="spellEnd"/>
      <w:r w:rsidRPr="00075BE6">
        <w:rPr>
          <w:color w:val="000000"/>
          <w:sz w:val="26"/>
          <w:szCs w:val="26"/>
        </w:rPr>
        <w:t>:</w:t>
      </w:r>
    </w:p>
    <w:p w14:paraId="17919DF6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(2) Thu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tính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= Thu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chịu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– Các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khoản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giảm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trừ</w:t>
      </w:r>
      <w:proofErr w:type="spellEnd"/>
    </w:p>
    <w:p w14:paraId="48659220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(3) Thu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chịu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=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Tổng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– Các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khoản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miễn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chịu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</w:p>
    <w:p w14:paraId="7BA3B275" w14:textId="4AF3F685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thu</w:t>
      </w:r>
      <w:proofErr w:type="spellEnd"/>
      <w:r w:rsidR="007A6271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nhập</w:t>
      </w:r>
      <w:proofErr w:type="spellEnd"/>
      <w:r w:rsidR="007A6271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cá</w:t>
      </w:r>
      <w:proofErr w:type="spellEnd"/>
      <w:r w:rsidR="007A6271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nhân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sẽ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được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tháng</w:t>
      </w:r>
      <w:proofErr w:type="spellEnd"/>
      <w:r w:rsidRPr="00075BE6">
        <w:rPr>
          <w:color w:val="000000"/>
          <w:sz w:val="26"/>
          <w:szCs w:val="26"/>
        </w:rPr>
        <w:t xml:space="preserve">, </w:t>
      </w:r>
      <w:proofErr w:type="spellStart"/>
      <w:r w:rsidRPr="00075BE6">
        <w:rPr>
          <w:color w:val="000000"/>
          <w:sz w:val="26"/>
          <w:szCs w:val="26"/>
        </w:rPr>
        <w:t>kê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thai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có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thể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tháng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hoặc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quý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nhưng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quyết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toán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năm</w:t>
      </w:r>
      <w:proofErr w:type="spellEnd"/>
      <w:r w:rsidRPr="00075BE6">
        <w:rPr>
          <w:color w:val="000000"/>
          <w:sz w:val="26"/>
          <w:szCs w:val="26"/>
        </w:rPr>
        <w:t>. 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075BE6">
        <w:rPr>
          <w:color w:val="000000"/>
          <w:sz w:val="26"/>
          <w:szCs w:val="26"/>
        </w:rPr>
        <w:t> </w:t>
      </w:r>
      <w:proofErr w:type="spellStart"/>
      <w:r w:rsidRPr="00075BE6">
        <w:rPr>
          <w:color w:val="000000"/>
          <w:sz w:val="26"/>
          <w:szCs w:val="26"/>
        </w:rPr>
        <w:t>được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tại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thời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điểm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trả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nhập</w:t>
      </w:r>
      <w:proofErr w:type="spellEnd"/>
      <w:r w:rsidRPr="00075BE6">
        <w:rPr>
          <w:color w:val="000000"/>
          <w:sz w:val="26"/>
          <w:szCs w:val="26"/>
        </w:rPr>
        <w:t>.</w:t>
      </w:r>
    </w:p>
    <w:p w14:paraId="249DEA65" w14:textId="77777777" w:rsidR="00075BE6" w:rsidRPr="00075BE6" w:rsidRDefault="00075BE6" w:rsidP="00075BE6">
      <w:pPr>
        <w:pStyle w:val="Heading4"/>
        <w:spacing w:before="0" w:line="36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Các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bước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tính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5935DED6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Căn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cứ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vào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công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thức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trên</w:t>
      </w:r>
      <w:proofErr w:type="spellEnd"/>
      <w:r w:rsidRPr="00075BE6">
        <w:rPr>
          <w:color w:val="000000"/>
          <w:sz w:val="26"/>
          <w:szCs w:val="26"/>
        </w:rPr>
        <w:t xml:space="preserve">, </w:t>
      </w:r>
      <w:proofErr w:type="spellStart"/>
      <w:r w:rsidRPr="00075BE6">
        <w:rPr>
          <w:color w:val="000000"/>
          <w:sz w:val="26"/>
          <w:szCs w:val="26"/>
        </w:rPr>
        <w:t>để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được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số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phải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nộp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hãy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thực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hiện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tuần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tự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các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sau</w:t>
      </w:r>
      <w:proofErr w:type="spellEnd"/>
      <w:r w:rsidRPr="00075BE6">
        <w:rPr>
          <w:color w:val="000000"/>
          <w:sz w:val="26"/>
          <w:szCs w:val="26"/>
        </w:rPr>
        <w:t>:</w:t>
      </w:r>
    </w:p>
    <w:p w14:paraId="02B28FC9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1.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tổng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nhập</w:t>
      </w:r>
      <w:proofErr w:type="spellEnd"/>
    </w:p>
    <w:p w14:paraId="1742D5E8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2.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các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khoản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được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miễn</w:t>
      </w:r>
      <w:proofErr w:type="spellEnd"/>
    </w:p>
    <w:p w14:paraId="7A14EE7C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3.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nhập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chịu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công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thức</w:t>
      </w:r>
      <w:proofErr w:type="spellEnd"/>
      <w:r w:rsidRPr="00075BE6">
        <w:rPr>
          <w:color w:val="000000"/>
          <w:sz w:val="26"/>
          <w:szCs w:val="26"/>
        </w:rPr>
        <w:t xml:space="preserve"> (3)</w:t>
      </w:r>
    </w:p>
    <w:p w14:paraId="100E0DA6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4.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các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khoản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được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giảm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trừ</w:t>
      </w:r>
      <w:proofErr w:type="spellEnd"/>
    </w:p>
    <w:p w14:paraId="062E63DD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5.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nhập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công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thức</w:t>
      </w:r>
      <w:proofErr w:type="spellEnd"/>
      <w:r w:rsidRPr="00075BE6">
        <w:rPr>
          <w:color w:val="000000"/>
          <w:sz w:val="26"/>
          <w:szCs w:val="26"/>
        </w:rPr>
        <w:t xml:space="preserve"> (2)</w:t>
      </w:r>
    </w:p>
    <w:p w14:paraId="3CB9BE7F" w14:textId="7777777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Bước</w:t>
      </w:r>
      <w:proofErr w:type="spellEnd"/>
      <w:r w:rsidRPr="00075BE6">
        <w:rPr>
          <w:color w:val="000000"/>
          <w:sz w:val="26"/>
          <w:szCs w:val="26"/>
        </w:rPr>
        <w:t xml:space="preserve"> 6.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số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phải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nộp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công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thức</w:t>
      </w:r>
      <w:proofErr w:type="spellEnd"/>
      <w:r w:rsidRPr="00075BE6">
        <w:rPr>
          <w:color w:val="000000"/>
          <w:sz w:val="26"/>
          <w:szCs w:val="26"/>
        </w:rPr>
        <w:t xml:space="preserve"> (1).</w:t>
      </w:r>
    </w:p>
    <w:p w14:paraId="3CCDE43B" w14:textId="77777777" w:rsidR="00075BE6" w:rsidRPr="00075BE6" w:rsidRDefault="00075BE6" w:rsidP="007A6271">
      <w:pPr>
        <w:pStyle w:val="NormalWeb"/>
        <w:spacing w:before="0" w:beforeAutospacing="0" w:after="0" w:afterAutospacing="0" w:line="360" w:lineRule="auto"/>
        <w:ind w:firstLine="720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Đối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với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cá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nhân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cư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trú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ký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hợp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đồng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lao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động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có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thời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hạn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từ</w:t>
      </w:r>
      <w:proofErr w:type="spellEnd"/>
      <w:r w:rsidRPr="00075BE6">
        <w:rPr>
          <w:color w:val="000000"/>
          <w:sz w:val="26"/>
          <w:szCs w:val="26"/>
        </w:rPr>
        <w:t xml:space="preserve"> 03 </w:t>
      </w:r>
      <w:proofErr w:type="spellStart"/>
      <w:r w:rsidRPr="00075BE6">
        <w:rPr>
          <w:color w:val="000000"/>
          <w:sz w:val="26"/>
          <w:szCs w:val="26"/>
        </w:rPr>
        <w:t>tháng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trở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lên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sau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khi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được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nhập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thì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chỉ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cần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lấy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nhập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x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suất</w:t>
      </w:r>
      <w:proofErr w:type="spellEnd"/>
      <w:r w:rsidRPr="00075BE6">
        <w:rPr>
          <w:color w:val="000000"/>
          <w:sz w:val="26"/>
          <w:szCs w:val="26"/>
        </w:rPr>
        <w:t xml:space="preserve"> (</w:t>
      </w:r>
      <w:proofErr w:type="spellStart"/>
      <w:r w:rsidRPr="00075BE6">
        <w:rPr>
          <w:color w:val="000000"/>
          <w:sz w:val="26"/>
          <w:szCs w:val="26"/>
        </w:rPr>
        <w:t>phương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pháp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Biểu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lũy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tiến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từng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phần</w:t>
      </w:r>
      <w:proofErr w:type="spellEnd"/>
      <w:r w:rsidRPr="00075BE6">
        <w:rPr>
          <w:color w:val="000000"/>
          <w:sz w:val="26"/>
          <w:szCs w:val="26"/>
        </w:rPr>
        <w:t xml:space="preserve"> –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từng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bậc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thuế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sau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đó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cộng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lại</w:t>
      </w:r>
      <w:proofErr w:type="spellEnd"/>
      <w:r w:rsidRPr="00075BE6">
        <w:rPr>
          <w:color w:val="000000"/>
          <w:sz w:val="26"/>
          <w:szCs w:val="26"/>
        </w:rPr>
        <w:t xml:space="preserve">). Chi </w:t>
      </w:r>
      <w:proofErr w:type="spellStart"/>
      <w:r w:rsidRPr="00075BE6">
        <w:rPr>
          <w:color w:val="000000"/>
          <w:sz w:val="26"/>
          <w:szCs w:val="26"/>
        </w:rPr>
        <w:t>tiết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bảng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sau</w:t>
      </w:r>
      <w:proofErr w:type="spellEnd"/>
      <w:r w:rsidRPr="00075BE6">
        <w:rPr>
          <w:color w:val="000000"/>
          <w:sz w:val="26"/>
          <w:szCs w:val="26"/>
        </w:rPr>
        <w:t>: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22"/>
        <w:gridCol w:w="3402"/>
        <w:gridCol w:w="1559"/>
      </w:tblGrid>
      <w:tr w:rsidR="00075BE6" w:rsidRPr="00075BE6" w14:paraId="604A3E20" w14:textId="77777777" w:rsidTr="007A6271">
        <w:trPr>
          <w:trHeight w:val="70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979F5" w14:textId="77777777" w:rsidR="00075BE6" w:rsidRPr="00075BE6" w:rsidRDefault="00075BE6" w:rsidP="00075BE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Bậc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8893A2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nhập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tính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/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(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triệu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đồng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46959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nhập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tính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/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triệu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đồng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A375A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suất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(%)</w:t>
            </w:r>
          </w:p>
        </w:tc>
      </w:tr>
      <w:tr w:rsidR="00075BE6" w:rsidRPr="00075BE6" w14:paraId="0AB25C12" w14:textId="77777777" w:rsidTr="007A6271">
        <w:trPr>
          <w:trHeight w:val="150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3E47F0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A94C2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60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9B6C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519FA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075BE6" w:rsidRPr="00075BE6" w14:paraId="04320447" w14:textId="77777777" w:rsidTr="007A6271">
        <w:trPr>
          <w:trHeight w:val="34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82E69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6318F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120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382605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77D6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075BE6" w:rsidRPr="00075BE6" w14:paraId="3684975A" w14:textId="77777777" w:rsidTr="007A6271">
        <w:trPr>
          <w:trHeight w:val="34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DACBF2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EC694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216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A4D011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18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EEDC5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075BE6" w:rsidRPr="00075BE6" w14:paraId="2A15BDA6" w14:textId="77777777" w:rsidTr="007A6271">
        <w:trPr>
          <w:trHeight w:val="34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AF2A0B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ECB360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216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384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AA395F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18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7E700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075BE6" w:rsidRPr="00075BE6" w14:paraId="0AD9FD08" w14:textId="77777777" w:rsidTr="007A6271">
        <w:trPr>
          <w:trHeight w:val="34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94A32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01F2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384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624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8F856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52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5BBFCD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075BE6" w:rsidRPr="00075BE6" w14:paraId="34116A2B" w14:textId="77777777" w:rsidTr="007A6271">
        <w:trPr>
          <w:trHeight w:val="34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CCE290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1C932B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624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960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469ED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52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480C6C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075BE6" w:rsidRPr="00075BE6" w14:paraId="18C4413C" w14:textId="77777777" w:rsidTr="007A6271">
        <w:trPr>
          <w:trHeight w:val="345"/>
        </w:trPr>
        <w:tc>
          <w:tcPr>
            <w:tcW w:w="856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22D2C8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2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FD105C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960</w:t>
            </w:r>
          </w:p>
        </w:tc>
        <w:tc>
          <w:tcPr>
            <w:tcW w:w="340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95AC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</w:t>
            </w:r>
          </w:p>
        </w:tc>
        <w:tc>
          <w:tcPr>
            <w:tcW w:w="155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CBAD4D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</w:tbl>
    <w:p w14:paraId="3C07619B" w14:textId="77777777" w:rsidR="00075BE6" w:rsidRPr="00075BE6" w:rsidRDefault="00075BE6" w:rsidP="00075BE6">
      <w:pPr>
        <w:pStyle w:val="Heading4"/>
        <w:spacing w:before="0" w:line="36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Cách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tính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rút</w:t>
      </w:r>
      <w:proofErr w:type="spellEnd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Style w:val="Emphasis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gọn</w:t>
      </w:r>
      <w:proofErr w:type="spellEnd"/>
    </w:p>
    <w:p w14:paraId="023843BD" w14:textId="5379A257" w:rsidR="00075BE6" w:rsidRPr="00075BE6" w:rsidRDefault="00075BE6" w:rsidP="00075BE6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proofErr w:type="spellStart"/>
      <w:r w:rsidRPr="00075BE6">
        <w:rPr>
          <w:color w:val="000000"/>
          <w:sz w:val="26"/>
          <w:szCs w:val="26"/>
        </w:rPr>
        <w:t>Để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việc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toán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thuận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tiện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hơn</w:t>
      </w:r>
      <w:proofErr w:type="spellEnd"/>
      <w:r w:rsidRPr="00075BE6">
        <w:rPr>
          <w:color w:val="000000"/>
          <w:sz w:val="26"/>
          <w:szCs w:val="26"/>
        </w:rPr>
        <w:t xml:space="preserve">, </w:t>
      </w:r>
      <w:proofErr w:type="spellStart"/>
      <w:r w:rsidRPr="00075BE6">
        <w:rPr>
          <w:color w:val="000000"/>
          <w:sz w:val="26"/>
          <w:szCs w:val="26"/>
        </w:rPr>
        <w:t>có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thể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áp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dụng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phương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pháp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tính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rút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gọn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phụ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lục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số</w:t>
      </w:r>
      <w:proofErr w:type="spellEnd"/>
      <w:r w:rsidRPr="00075BE6">
        <w:rPr>
          <w:color w:val="000000"/>
          <w:sz w:val="26"/>
          <w:szCs w:val="26"/>
        </w:rPr>
        <w:t xml:space="preserve"> 01/PL-</w:t>
      </w:r>
      <w:proofErr w:type="spellStart"/>
      <w:r w:rsidR="007A6271">
        <w:rPr>
          <w:color w:val="000000"/>
          <w:sz w:val="26"/>
          <w:szCs w:val="26"/>
        </w:rPr>
        <w:t>thu</w:t>
      </w:r>
      <w:proofErr w:type="spellEnd"/>
      <w:r w:rsidR="007A6271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nhập</w:t>
      </w:r>
      <w:proofErr w:type="spellEnd"/>
      <w:r w:rsidR="007A6271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cá</w:t>
      </w:r>
      <w:proofErr w:type="spellEnd"/>
      <w:r w:rsidR="007A6271">
        <w:rPr>
          <w:color w:val="000000"/>
          <w:sz w:val="26"/>
          <w:szCs w:val="26"/>
        </w:rPr>
        <w:t xml:space="preserve"> </w:t>
      </w:r>
      <w:proofErr w:type="spellStart"/>
      <w:r w:rsidR="007A6271">
        <w:rPr>
          <w:color w:val="000000"/>
          <w:sz w:val="26"/>
          <w:szCs w:val="26"/>
        </w:rPr>
        <w:t>nhân</w:t>
      </w:r>
      <w:proofErr w:type="spellEnd"/>
      <w:r w:rsidRPr="00075BE6">
        <w:rPr>
          <w:color w:val="000000"/>
          <w:sz w:val="26"/>
          <w:szCs w:val="26"/>
        </w:rPr>
        <w:t xml:space="preserve"> ban </w:t>
      </w:r>
      <w:proofErr w:type="spellStart"/>
      <w:r w:rsidRPr="00075BE6">
        <w:rPr>
          <w:color w:val="000000"/>
          <w:sz w:val="26"/>
          <w:szCs w:val="26"/>
        </w:rPr>
        <w:t>hành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kèm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theo</w:t>
      </w:r>
      <w:proofErr w:type="spellEnd"/>
      <w:r w:rsidRPr="00075BE6">
        <w:rPr>
          <w:color w:val="000000"/>
          <w:sz w:val="26"/>
          <w:szCs w:val="26"/>
        </w:rPr>
        <w:t xml:space="preserve"> Thông </w:t>
      </w:r>
      <w:proofErr w:type="spellStart"/>
      <w:r w:rsidRPr="00075BE6">
        <w:rPr>
          <w:color w:val="000000"/>
          <w:sz w:val="26"/>
          <w:szCs w:val="26"/>
        </w:rPr>
        <w:t>tư</w:t>
      </w:r>
      <w:proofErr w:type="spellEnd"/>
      <w:r w:rsidRPr="00075BE6">
        <w:rPr>
          <w:color w:val="000000"/>
          <w:sz w:val="26"/>
          <w:szCs w:val="26"/>
        </w:rPr>
        <w:t xml:space="preserve"> 111/2013/TT-BTC </w:t>
      </w:r>
      <w:proofErr w:type="spellStart"/>
      <w:r w:rsidRPr="00075BE6">
        <w:rPr>
          <w:color w:val="000000"/>
          <w:sz w:val="26"/>
          <w:szCs w:val="26"/>
        </w:rPr>
        <w:t>như</w:t>
      </w:r>
      <w:proofErr w:type="spellEnd"/>
      <w:r w:rsidRPr="00075BE6">
        <w:rPr>
          <w:color w:val="000000"/>
          <w:sz w:val="26"/>
          <w:szCs w:val="26"/>
        </w:rPr>
        <w:t xml:space="preserve"> </w:t>
      </w:r>
      <w:proofErr w:type="spellStart"/>
      <w:r w:rsidRPr="00075BE6">
        <w:rPr>
          <w:color w:val="000000"/>
          <w:sz w:val="26"/>
          <w:szCs w:val="26"/>
        </w:rPr>
        <w:t>sau</w:t>
      </w:r>
      <w:proofErr w:type="spellEnd"/>
      <w:r w:rsidRPr="00075BE6">
        <w:rPr>
          <w:color w:val="000000"/>
          <w:sz w:val="26"/>
          <w:szCs w:val="26"/>
        </w:rPr>
        <w:t>: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557"/>
        <w:gridCol w:w="1410"/>
        <w:gridCol w:w="2410"/>
        <w:gridCol w:w="1843"/>
      </w:tblGrid>
      <w:tr w:rsidR="00075BE6" w:rsidRPr="00075BE6" w14:paraId="33DB315E" w14:textId="77777777" w:rsidTr="007A6271">
        <w:trPr>
          <w:trHeight w:val="345"/>
        </w:trPr>
        <w:tc>
          <w:tcPr>
            <w:tcW w:w="719" w:type="dxa"/>
            <w:vMerge w:val="restart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B67A0" w14:textId="77777777" w:rsidR="00075BE6" w:rsidRPr="00075BE6" w:rsidRDefault="00075BE6" w:rsidP="00075BE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Bậc</w:t>
            </w:r>
            <w:proofErr w:type="spellEnd"/>
          </w:p>
        </w:tc>
        <w:tc>
          <w:tcPr>
            <w:tcW w:w="2557" w:type="dxa"/>
            <w:vMerge w:val="restart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134748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Thu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nhập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tính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/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triệu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đồng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A2840D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suất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(%)</w:t>
            </w:r>
          </w:p>
        </w:tc>
        <w:tc>
          <w:tcPr>
            <w:tcW w:w="4253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0B9F8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Tính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thuế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phải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nộp</w:t>
            </w:r>
            <w:proofErr w:type="spellEnd"/>
          </w:p>
        </w:tc>
      </w:tr>
      <w:tr w:rsidR="00075BE6" w:rsidRPr="00075BE6" w14:paraId="537EB7BA" w14:textId="77777777" w:rsidTr="007A6271">
        <w:trPr>
          <w:trHeight w:val="345"/>
        </w:trPr>
        <w:tc>
          <w:tcPr>
            <w:tcW w:w="0" w:type="auto"/>
            <w:vMerge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vAlign w:val="bottom"/>
            <w:hideMark/>
          </w:tcPr>
          <w:p w14:paraId="7B01A78E" w14:textId="77777777" w:rsidR="00075BE6" w:rsidRPr="00075BE6" w:rsidRDefault="00075BE6" w:rsidP="00075BE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7" w:type="dxa"/>
            <w:vMerge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vAlign w:val="bottom"/>
            <w:hideMark/>
          </w:tcPr>
          <w:p w14:paraId="0985EC93" w14:textId="77777777" w:rsidR="00075BE6" w:rsidRPr="00075BE6" w:rsidRDefault="00075BE6" w:rsidP="00075BE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vAlign w:val="bottom"/>
            <w:hideMark/>
          </w:tcPr>
          <w:p w14:paraId="71D16BC9" w14:textId="77777777" w:rsidR="00075BE6" w:rsidRPr="00075BE6" w:rsidRDefault="00075BE6" w:rsidP="00075BE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20FA8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Cách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38C8D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Cách</w:t>
            </w:r>
            <w:proofErr w:type="spellEnd"/>
            <w:r w:rsidRPr="00075BE6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2</w:t>
            </w:r>
          </w:p>
        </w:tc>
      </w:tr>
      <w:tr w:rsidR="007A6271" w:rsidRPr="00075BE6" w14:paraId="5878DBD7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B348F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FC318F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060C18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0AEA0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+ 5% TNTT</w:t>
            </w:r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2064F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5% TNTT</w:t>
            </w:r>
          </w:p>
        </w:tc>
      </w:tr>
      <w:tr w:rsidR="007A6271" w:rsidRPr="00075BE6" w14:paraId="4B3ABE08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96AA76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164529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81CF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2D3A15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0.25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+ 10% TNTT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19EA35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10% TNTT – 0.25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</w:tr>
      <w:tr w:rsidR="007A6271" w:rsidRPr="00075BE6" w14:paraId="5561B09E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91D6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0928B2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18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6B0450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914E1F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0.75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+ 15% TNTT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6EEC07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15% TNTT – 0.75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</w:tr>
      <w:tr w:rsidR="007A6271" w:rsidRPr="00075BE6" w14:paraId="249C212A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C182B4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FFD0B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18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B7E0B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F26D1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1.95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+ 20% TNTT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18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80E9F5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20% TNTT – 1.65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</w:tr>
      <w:tr w:rsidR="007A6271" w:rsidRPr="00075BE6" w14:paraId="11AC9FB6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B114D6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7921A4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52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0C90DC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DFA3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4.75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+ 25% TNTT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144BCB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25% TNTT – 3.25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</w:tr>
      <w:tr w:rsidR="007A6271" w:rsidRPr="00075BE6" w14:paraId="06AE72AF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7D15A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72111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52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AC6BEE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572BC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9.75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+ 30% TNTT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52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FF781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30 % TNTT – 5.85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</w:tr>
      <w:tr w:rsidR="007A6271" w:rsidRPr="00075BE6" w14:paraId="75157E86" w14:textId="77777777" w:rsidTr="007A6271">
        <w:trPr>
          <w:trHeight w:val="345"/>
        </w:trPr>
        <w:tc>
          <w:tcPr>
            <w:tcW w:w="719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7247C3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5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7F9C7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</w:t>
            </w:r>
          </w:p>
        </w:tc>
        <w:tc>
          <w:tcPr>
            <w:tcW w:w="1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761D8A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7ED3C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18.15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+ 35% TNTT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 </w:t>
            </w:r>
            <w:proofErr w:type="spellStart"/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trđ</w:t>
            </w:r>
            <w:proofErr w:type="spellEnd"/>
          </w:p>
        </w:tc>
        <w:tc>
          <w:tcPr>
            <w:tcW w:w="184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4CFD2" w14:textId="77777777" w:rsidR="00075BE6" w:rsidRPr="00075BE6" w:rsidRDefault="00075BE6" w:rsidP="00075BE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5B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35% TNTT – 9.85 tr</w:t>
            </w:r>
          </w:p>
        </w:tc>
      </w:tr>
    </w:tbl>
    <w:p w14:paraId="7AE4B981" w14:textId="77777777" w:rsidR="00075BE6" w:rsidRPr="00075BE6" w:rsidRDefault="00075BE6" w:rsidP="00075BE6">
      <w:pPr>
        <w:pStyle w:val="Heading3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r w:rsidRPr="00075BE6">
        <w:rPr>
          <w:color w:val="000000"/>
          <w:sz w:val="26"/>
          <w:szCs w:val="26"/>
          <w:bdr w:val="none" w:sz="0" w:space="0" w:color="auto" w:frame="1"/>
        </w:rPr>
        <w:t xml:space="preserve">Các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trường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được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miễn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5ABCD298" w14:textId="02C433E6" w:rsidR="00075BE6" w:rsidRPr="00075BE6" w:rsidRDefault="00075BE6" w:rsidP="00075BE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Theo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4, 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Luậ</w:t>
      </w: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8E7EEE2" w14:textId="77777777" w:rsidR="00075BE6" w:rsidRPr="00075BE6" w:rsidRDefault="00075BE6" w:rsidP="00075BE6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BĐS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cha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proofErr w:type="gram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,…</w:t>
      </w:r>
      <w:proofErr w:type="gramEnd"/>
    </w:p>
    <w:p w14:paraId="14C40987" w14:textId="77777777" w:rsidR="00075BE6" w:rsidRPr="00075BE6" w:rsidRDefault="00075BE6" w:rsidP="00075BE6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(QSDĐ) ở. Các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duy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</w:p>
    <w:p w14:paraId="3FAE4713" w14:textId="77777777" w:rsidR="00075BE6" w:rsidRPr="00075BE6" w:rsidRDefault="00075BE6" w:rsidP="00075BE6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</w:p>
    <w:p w14:paraId="1BE9853D" w14:textId="77777777" w:rsidR="00075BE6" w:rsidRPr="00075BE6" w:rsidRDefault="00075BE6" w:rsidP="00075BE6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kếhay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quà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BĐS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cha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68A926C3" w14:textId="77777777" w:rsidR="00075BE6" w:rsidRPr="00075BE6" w:rsidRDefault="00075BE6" w:rsidP="00075BE6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đêm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</w:p>
    <w:p w14:paraId="3C40EA1F" w14:textId="77777777" w:rsidR="00075BE6" w:rsidRPr="00075BE6" w:rsidRDefault="00075BE6" w:rsidP="00075BE6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HĐ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thọ</w:t>
      </w:r>
      <w:proofErr w:type="spellEnd"/>
    </w:p>
    <w:p w14:paraId="21627497" w14:textId="77777777" w:rsidR="00075BE6" w:rsidRPr="00075BE6" w:rsidRDefault="00075BE6" w:rsidP="00075BE6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Các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khoản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giảm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trừ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cảnh</w:t>
      </w:r>
      <w:proofErr w:type="spellEnd"/>
    </w:p>
    <w:p w14:paraId="591F89B7" w14:textId="5C6A1B29" w:rsidR="00075BE6" w:rsidRPr="00075BE6" w:rsidRDefault="00075BE6" w:rsidP="00075BE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5610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610A6" w:rsidRPr="00421779">
        <w:rPr>
          <w:rFonts w:ascii="Times New Roman" w:eastAsia="Times New Roman" w:hAnsi="Times New Roman" w:cs="Times New Roman"/>
          <w:color w:val="000000"/>
          <w:sz w:val="26"/>
          <w:szCs w:val="26"/>
        </w:rPr>
        <w:t>95</w:t>
      </w:r>
      <w:r w:rsidR="005610A6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610A6" w:rsidRPr="00421779">
        <w:rPr>
          <w:rFonts w:ascii="Times New Roman" w:eastAsia="Times New Roman" w:hAnsi="Times New Roman" w:cs="Times New Roman"/>
          <w:color w:val="000000"/>
          <w:sz w:val="26"/>
          <w:szCs w:val="26"/>
        </w:rPr>
        <w:t>/2020/UBTVQH14</w:t>
      </w:r>
      <w:r w:rsidR="005610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chỉnh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2020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::</w:t>
      </w:r>
      <w:proofErr w:type="gramEnd"/>
    </w:p>
    <w:p w14:paraId="29F3088C" w14:textId="77777777" w:rsidR="00075BE6" w:rsidRPr="00075BE6" w:rsidRDefault="00075BE6" w:rsidP="00075BE6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11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triệu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(132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triệu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6B9BBF3E" w14:textId="77777777" w:rsidR="00075BE6" w:rsidRPr="00075BE6" w:rsidRDefault="00075BE6" w:rsidP="00075BE6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4,4triệu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</w:p>
    <w:p w14:paraId="1F62E5AC" w14:textId="0BCD4B09" w:rsidR="00075BE6" w:rsidRPr="00075BE6" w:rsidRDefault="00075BE6" w:rsidP="00075BE6">
      <w:pPr>
        <w:pStyle w:val="Heading3"/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</w:rPr>
      </w:pPr>
      <w:r w:rsidRPr="00075BE6">
        <w:rPr>
          <w:color w:val="000000"/>
          <w:sz w:val="26"/>
          <w:szCs w:val="26"/>
          <w:bdr w:val="none" w:sz="0" w:space="0" w:color="auto" w:frame="1"/>
        </w:rPr>
        <w:t xml:space="preserve">Các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khoản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chịu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5BE6">
        <w:rPr>
          <w:color w:val="000000"/>
          <w:sz w:val="26"/>
          <w:szCs w:val="26"/>
          <w:bdr w:val="none" w:sz="0" w:space="0" w:color="auto" w:frame="1"/>
        </w:rPr>
        <w:t>thuế</w:t>
      </w:r>
      <w:proofErr w:type="spellEnd"/>
      <w:r w:rsidRPr="00075BE6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color w:val="000000"/>
          <w:sz w:val="26"/>
          <w:szCs w:val="26"/>
          <w:bdr w:val="none" w:sz="0" w:space="0" w:color="auto" w:frame="1"/>
        </w:rPr>
        <w:t>thu</w:t>
      </w:r>
      <w:proofErr w:type="spellEnd"/>
      <w:r w:rsidR="007A627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color w:val="000000"/>
          <w:sz w:val="26"/>
          <w:szCs w:val="26"/>
          <w:bdr w:val="none" w:sz="0" w:space="0" w:color="auto" w:frame="1"/>
        </w:rPr>
        <w:t>nhập</w:t>
      </w:r>
      <w:proofErr w:type="spellEnd"/>
      <w:r w:rsidR="007A627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="007A627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A6271">
        <w:rPr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12B41366" w14:textId="77777777" w:rsidR="00075BE6" w:rsidRPr="00075BE6" w:rsidRDefault="00075BE6" w:rsidP="00075BE6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trưa</w:t>
      </w:r>
      <w:proofErr w:type="spellEnd"/>
    </w:p>
    <w:p w14:paraId="2158E867" w14:textId="77777777" w:rsidR="00075BE6" w:rsidRPr="00075BE6" w:rsidRDefault="00075BE6" w:rsidP="00075BE6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</w:p>
    <w:p w14:paraId="6AD881AB" w14:textId="77777777" w:rsidR="00075BE6" w:rsidRPr="00075BE6" w:rsidRDefault="00075BE6" w:rsidP="00075BE6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</w:p>
    <w:p w14:paraId="0EF37D8D" w14:textId="77777777" w:rsidR="00075BE6" w:rsidRPr="00075BE6" w:rsidRDefault="00075BE6" w:rsidP="00075BE6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</w:p>
    <w:p w14:paraId="2E244A96" w14:textId="77777777" w:rsidR="00075BE6" w:rsidRPr="00075BE6" w:rsidRDefault="00075BE6" w:rsidP="00075BE6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Thu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đêm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14E3775" w14:textId="77777777" w:rsidR="00075BE6" w:rsidRPr="00075BE6" w:rsidRDefault="00075BE6" w:rsidP="00075BE6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Bảo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hiềm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biệt</w:t>
      </w:r>
      <w:proofErr w:type="spellEnd"/>
    </w:p>
    <w:p w14:paraId="70B24A9C" w14:textId="1169C333" w:rsidR="00075BE6" w:rsidRDefault="00075BE6" w:rsidP="007A6271">
      <w:pPr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627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thôi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hưu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5C0A935A" w14:textId="68BA7F8F" w:rsidR="007A6271" w:rsidRPr="00421779" w:rsidRDefault="007A6271" w:rsidP="007A627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21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Tài </w:t>
      </w:r>
      <w:proofErr w:type="spellStart"/>
      <w:r w:rsidRPr="00421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  <w:r w:rsidRPr="00421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21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421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21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khảo</w:t>
      </w:r>
      <w:proofErr w:type="spellEnd"/>
    </w:p>
    <w:p w14:paraId="6A4490E8" w14:textId="27133222" w:rsidR="00E05048" w:rsidRPr="00421779" w:rsidRDefault="00E05048" w:rsidP="007A6271">
      <w:pPr>
        <w:spacing w:after="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Luật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26/2012/QH13</w:t>
      </w:r>
      <w:bookmarkStart w:id="0" w:name="loai_1_name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22 </w:t>
      </w:r>
      <w:proofErr w:type="spellStart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11 </w:t>
      </w:r>
      <w:proofErr w:type="spellStart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2012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sửa</w:t>
      </w:r>
      <w:proofErr w:type="spellEnd"/>
      <w:proofErr w:type="gram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bổ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sung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luật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</w:t>
      </w:r>
      <w:proofErr w:type="spellEnd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nhân</w:t>
      </w:r>
      <w:bookmarkEnd w:id="0"/>
      <w:proofErr w:type="spellEnd"/>
      <w:r w:rsid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5BC6FBC" w14:textId="32B45F10" w:rsidR="007A6271" w:rsidRPr="00075BE6" w:rsidRDefault="007A6271" w:rsidP="007A627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Nghị</w:t>
      </w:r>
      <w:proofErr w:type="spellEnd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75BE6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421779" w:rsidRPr="00421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95</w:t>
      </w:r>
      <w:r w:rsidR="005610A6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421779" w:rsidRPr="00421779">
        <w:rPr>
          <w:rFonts w:ascii="Times New Roman" w:eastAsia="Times New Roman" w:hAnsi="Times New Roman" w:cs="Times New Roman"/>
          <w:color w:val="000000"/>
          <w:sz w:val="26"/>
          <w:szCs w:val="26"/>
        </w:rPr>
        <w:t>/2020/UBTVQH14 n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gày 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2 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tháng 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 năm 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2020</w:t>
      </w:r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D4315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UBTVQH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chỉnh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mức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giảm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trừ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cảnh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thuế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nhập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</w:t>
      </w:r>
      <w:proofErr w:type="spellEnd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nhân</w:t>
      </w:r>
      <w:proofErr w:type="spellEnd"/>
      <w:r w:rsidR="00421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6FCE6EB" w14:textId="7712F8F9" w:rsidR="00075BE6" w:rsidRPr="00421779" w:rsidRDefault="00D43158" w:rsidP="00E0504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Thông </w:t>
      </w:r>
      <w:proofErr w:type="spellStart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tư</w:t>
      </w:r>
      <w:proofErr w:type="spellEnd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111/2013/TT-BTC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Hướng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d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ẫn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Luật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thuế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thu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nhập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cá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nhân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và</w:t>
      </w:r>
      <w:proofErr w:type="spellEnd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Nghị</w:t>
      </w:r>
      <w:proofErr w:type="spellEnd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định</w:t>
      </w:r>
      <w:proofErr w:type="spellEnd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65/2013/NĐ-</w:t>
      </w:r>
      <w:proofErr w:type="gramStart"/>
      <w:r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CP </w:t>
      </w:r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 do</w:t>
      </w:r>
      <w:proofErr w:type="gram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Bộ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trưởng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Bộ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Tài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chính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ban </w:t>
      </w:r>
      <w:proofErr w:type="spellStart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hành</w:t>
      </w:r>
      <w:proofErr w:type="spellEnd"/>
      <w:r w:rsidR="00E05048" w:rsidRPr="0042177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sectPr w:rsidR="00075BE6" w:rsidRPr="00421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945"/>
    <w:multiLevelType w:val="multilevel"/>
    <w:tmpl w:val="B43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3231"/>
    <w:multiLevelType w:val="multilevel"/>
    <w:tmpl w:val="5AF4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85231"/>
    <w:multiLevelType w:val="multilevel"/>
    <w:tmpl w:val="E8F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186"/>
    <w:multiLevelType w:val="multilevel"/>
    <w:tmpl w:val="A97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75046"/>
    <w:multiLevelType w:val="multilevel"/>
    <w:tmpl w:val="C4A4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534A4"/>
    <w:multiLevelType w:val="multilevel"/>
    <w:tmpl w:val="473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E6"/>
    <w:rsid w:val="00075BE6"/>
    <w:rsid w:val="00421779"/>
    <w:rsid w:val="005610A6"/>
    <w:rsid w:val="007A6271"/>
    <w:rsid w:val="009E23FC"/>
    <w:rsid w:val="00B61DA4"/>
    <w:rsid w:val="00D43158"/>
    <w:rsid w:val="00E05048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0117"/>
  <w15:chartTrackingRefBased/>
  <w15:docId w15:val="{8FA6A1D2-821E-4C89-8D00-85C5407B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5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5BE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75B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075B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75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2024-03-02T08:46:00Z</dcterms:created>
  <dcterms:modified xsi:type="dcterms:W3CDTF">2024-03-02T09:07:00Z</dcterms:modified>
</cp:coreProperties>
</file>