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5D" w:rsidRPr="00FE715D" w:rsidRDefault="00FE715D" w:rsidP="00FE715D">
      <w:pPr>
        <w:spacing w:after="0" w:line="4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E71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CÁC MẶT HÀNG KHÔNG ĐƯỢC GIẢM 2% THUẾ GTGT</w:t>
      </w:r>
    </w:p>
    <w:p w:rsidR="00FE715D" w:rsidRDefault="00FE715D" w:rsidP="00FE715D">
      <w:pPr>
        <w:spacing w:after="0" w:line="4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E715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TỪ 1/7/2023</w:t>
      </w:r>
    </w:p>
    <w:p w:rsidR="00FE715D" w:rsidRPr="00FE715D" w:rsidRDefault="00FE715D" w:rsidP="00FE715D">
      <w:pPr>
        <w:spacing w:after="0" w:line="420" w:lineRule="exac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Thực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hiện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Nghị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quyết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101/2023/QH15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thông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qua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vào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chiều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24/6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/2023</w:t>
      </w:r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sẽ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2%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GTGT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từ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1/7/2023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hết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FE715D">
        <w:rPr>
          <w:rFonts w:ascii="Times New Roman" w:eastAsia="Times New Roman" w:hAnsi="Times New Roman" w:cs="Times New Roman"/>
          <w:i/>
          <w:sz w:val="28"/>
          <w:szCs w:val="28"/>
        </w:rPr>
        <w:t xml:space="preserve"> 31/12/2023.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44/2023/NĐ-CP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xuống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8%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10%.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Trừ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nhóm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hoá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sau</w:t>
      </w:r>
      <w:proofErr w:type="spellEnd"/>
      <w:r w:rsidRPr="00FE71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ngân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khoán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đúc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sẵn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khoáng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than), than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cốc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dầu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hoá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. Chi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 ban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44/2023/NĐ-CP.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. Chi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II ban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tin. Chi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III ban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44/2023/NĐ-CP.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 ban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khâu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khép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kín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than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ra.</w:t>
      </w:r>
      <w:proofErr w:type="spellEnd"/>
      <w:proofErr w:type="gramEnd"/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I, II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III ban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Nghi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̣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định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5%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lastRenderedPageBreak/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suất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1 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"https://thuvienphapluat.vn/van-ban/Thue-Phi-Le-Phi/Nghi-dinh-44-2023-ND-CP-chinh-sach-giam-thue-gia-tri-gia-tang-theo-Nghi-quyet-101-2023-QH15-569851.aspx" \t "_blank" </w:instrTex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Nghị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>định</w:t>
      </w:r>
      <w:proofErr w:type="spellEnd"/>
      <w:r w:rsidRPr="00FE715D">
        <w:rPr>
          <w:rFonts w:ascii="Times New Roman" w:eastAsia="Times New Roman" w:hAnsi="Times New Roman" w:cs="Times New Roman"/>
          <w:color w:val="0E70A4"/>
          <w:sz w:val="28"/>
          <w:szCs w:val="28"/>
          <w:u w:val="single"/>
        </w:rPr>
        <w:t xml:space="preserve"> 44/2023/NĐ-CP</w:t>
      </w:r>
      <w:r w:rsidRPr="00FE715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FE71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</w:t>
      </w:r>
      <w:proofErr w:type="spellStart"/>
      <w:proofErr w:type="gram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khấu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8%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10% (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E715D" w:rsidRPr="00FE715D" w:rsidRDefault="00FE715D" w:rsidP="00FE715D">
      <w:pPr>
        <w:spacing w:after="0"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20%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%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GTGT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E715D">
        <w:rPr>
          <w:rFonts w:ascii="Times New Roman" w:eastAsia="Times New Roman" w:hAnsi="Times New Roman" w:cs="Times New Roman"/>
          <w:sz w:val="28"/>
          <w:szCs w:val="28"/>
        </w:rPr>
        <w:t>thuế</w:t>
      </w:r>
      <w:proofErr w:type="spellEnd"/>
      <w:r w:rsidRPr="00FE71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076" w:rsidRPr="00FE715D" w:rsidRDefault="002E7076" w:rsidP="00FE715D">
      <w:pPr>
        <w:spacing w:after="0" w:line="42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2E7076" w:rsidRPr="00FE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83776"/>
    <w:multiLevelType w:val="multilevel"/>
    <w:tmpl w:val="BEBE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5D"/>
    <w:rsid w:val="002E7076"/>
    <w:rsid w:val="00F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1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71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71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71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E7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E7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E715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E71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E71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71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1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57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2023-09-13T02:05:00Z</dcterms:created>
  <dcterms:modified xsi:type="dcterms:W3CDTF">2023-09-13T02:13:00Z</dcterms:modified>
</cp:coreProperties>
</file>