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0A28" w14:textId="1CB680AB" w:rsidR="00BE3EBE" w:rsidRPr="00BE3EBE" w:rsidRDefault="00BE3EBE" w:rsidP="00BE3EBE">
      <w:pPr>
        <w:spacing w:after="225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</w:rPr>
      </w:pPr>
      <w:r w:rsidRPr="00770A71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</w:rPr>
        <w:t>NGUYÊN TẮC KHẤU TRỪ THUẾ VÀ HOÀN THUẾ GTGT ĐỐI VỚI HÀNG HÓA, DỊCH VỤ XUẤT KHẨU NĂM 2023</w:t>
      </w:r>
    </w:p>
    <w:p w14:paraId="210093CE" w14:textId="4FC5DBF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1.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Quy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định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về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các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trường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hợp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hoàn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GTGT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hàng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hóa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dịch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vụ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xuất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khẩu</w:t>
      </w:r>
      <w:proofErr w:type="spellEnd"/>
    </w:p>
    <w:p w14:paraId="79C347FC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Căn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cứ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quy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định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tại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Khoản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4,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18, </w:t>
      </w:r>
      <w:hyperlink r:id="rId5" w:history="1">
        <w:proofErr w:type="spellStart"/>
        <w:r w:rsidRPr="00BE3EBE">
          <w:rPr>
            <w:rFonts w:ascii="Arial" w:eastAsia="Times New Roman" w:hAnsi="Arial" w:cs="Arial"/>
            <w:color w:val="333333"/>
            <w:sz w:val="26"/>
            <w:szCs w:val="26"/>
          </w:rPr>
          <w:t>Thông</w:t>
        </w:r>
        <w:proofErr w:type="spellEnd"/>
        <w:r w:rsidRPr="00BE3EBE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BE3EBE">
          <w:rPr>
            <w:rFonts w:ascii="Arial" w:eastAsia="Times New Roman" w:hAnsi="Arial" w:cs="Arial"/>
            <w:color w:val="333333"/>
            <w:sz w:val="26"/>
            <w:szCs w:val="26"/>
          </w:rPr>
          <w:t>tư</w:t>
        </w:r>
        <w:proofErr w:type="spellEnd"/>
        <w:r w:rsidRPr="00BE3EBE">
          <w:rPr>
            <w:rFonts w:ascii="Arial" w:eastAsia="Times New Roman" w:hAnsi="Arial" w:cs="Arial"/>
            <w:color w:val="333333"/>
            <w:sz w:val="26"/>
            <w:szCs w:val="26"/>
          </w:rPr>
          <w:t xml:space="preserve"> 219/203/TT-BTC</w:t>
        </w:r>
      </w:hyperlink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sửa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đổi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bởi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2,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Thông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tư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25/2018/TT-BTC,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các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trường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hợp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được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hoàn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hàng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hóa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dịch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vụ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xuất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khẩu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 xml:space="preserve"> bao </w:t>
      </w:r>
      <w:proofErr w:type="spellStart"/>
      <w:r w:rsidRPr="00BE3EBE">
        <w:rPr>
          <w:rFonts w:ascii="Arial" w:eastAsia="Times New Roman" w:hAnsi="Arial" w:cs="Arial"/>
          <w:color w:val="333333"/>
          <w:sz w:val="26"/>
          <w:szCs w:val="26"/>
        </w:rPr>
        <w:t>gồm</w:t>
      </w:r>
      <w:proofErr w:type="spellEnd"/>
      <w:r w:rsidRPr="00BE3EBE">
        <w:rPr>
          <w:rFonts w:ascii="Arial" w:eastAsia="Times New Roman" w:hAnsi="Arial" w:cs="Arial"/>
          <w:color w:val="333333"/>
          <w:sz w:val="26"/>
          <w:szCs w:val="26"/>
        </w:rPr>
        <w:t>:</w:t>
      </w:r>
    </w:p>
    <w:p w14:paraId="53AD762C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/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:</w:t>
      </w:r>
    </w:p>
    <w:p w14:paraId="409B57EA" w14:textId="77777777" w:rsidR="00BE3EBE" w:rsidRPr="00BE3EBE" w:rsidRDefault="00BE3EBE" w:rsidP="00BE3EBE">
      <w:pPr>
        <w:numPr>
          <w:ilvl w:val="0"/>
          <w:numId w:val="1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phi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2288955C" w14:textId="77777777" w:rsidR="00BE3EBE" w:rsidRPr="00BE3EBE" w:rsidRDefault="00BE3EBE" w:rsidP="00BE3EBE">
      <w:pPr>
        <w:numPr>
          <w:ilvl w:val="0"/>
          <w:numId w:val="1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6CD6ACBB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chưa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300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Nếu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chưa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đủ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chưa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thì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theo.</w:t>
      </w:r>
      <w:proofErr w:type="spellEnd"/>
    </w:p>
    <w:p w14:paraId="02AD78A0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tượng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:</w:t>
      </w:r>
    </w:p>
    <w:p w14:paraId="53F93ACF" w14:textId="77777777" w:rsidR="00BE3EBE" w:rsidRPr="00BE3EBE" w:rsidRDefault="00BE3EBE" w:rsidP="00BE3EBE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1B52093F" w14:textId="77777777" w:rsidR="00BE3EBE" w:rsidRPr="00BE3EBE" w:rsidRDefault="00BE3EBE" w:rsidP="00BE3EBE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phía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35396B89" w14:textId="77777777" w:rsidR="00BE3EBE" w:rsidRPr="00BE3EBE" w:rsidRDefault="00BE3EBE" w:rsidP="00BE3EBE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vật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xây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dựng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76DF42B4" w14:textId="77777777" w:rsidR="00BE3EBE" w:rsidRPr="00BE3EBE" w:rsidRDefault="00BE3EBE" w:rsidP="00BE3EBE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chỗ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6E0EEEB8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ra,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bao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tượng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:</w:t>
      </w:r>
    </w:p>
    <w:p w14:paraId="4DE90872" w14:textId="77777777" w:rsidR="00BE3EBE" w:rsidRPr="00BE3EBE" w:rsidRDefault="00BE3EBE" w:rsidP="00BE3EBE">
      <w:pPr>
        <w:numPr>
          <w:ilvl w:val="0"/>
          <w:numId w:val="3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7FF5E423" w14:textId="77777777" w:rsidR="00BE3EBE" w:rsidRPr="00BE3EBE" w:rsidRDefault="00BE3EBE" w:rsidP="00BE3EBE">
      <w:pPr>
        <w:numPr>
          <w:ilvl w:val="0"/>
          <w:numId w:val="3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173E140B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NNT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bị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xử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vi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buôn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lậu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phép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biên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trốn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thương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mại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liên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NNT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tượng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rủi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ro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cao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Luật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4393B141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lastRenderedPageBreak/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thủ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19,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219/2013/TT-BTC. Theo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:</w:t>
      </w:r>
    </w:p>
    <w:p w14:paraId="1403DA7D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tổ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tượng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1, 2, 3, 4, 5,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18,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219/2013/TT-BTC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:</w:t>
      </w:r>
    </w:p>
    <w:p w14:paraId="72E1B903" w14:textId="77777777" w:rsidR="00BE3EBE" w:rsidRPr="00BE3EBE" w:rsidRDefault="00BE3EBE" w:rsidP="00BE3EBE">
      <w:pPr>
        <w:numPr>
          <w:ilvl w:val="0"/>
          <w:numId w:val="4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nộp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pháp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giấy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phép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thẩm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quyền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đúng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lưu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giữ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sổ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58838C7E" w14:textId="77777777" w:rsidR="00BE3EBE" w:rsidRPr="00BE3EBE" w:rsidRDefault="00BE3EBE" w:rsidP="00BE3EBE">
      <w:pPr>
        <w:numPr>
          <w:ilvl w:val="0"/>
          <w:numId w:val="4"/>
        </w:numPr>
        <w:spacing w:after="24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gửi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mã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49B1A6E6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doanh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kê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nghị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Tờ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nghị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3F5C9953" w14:textId="77777777" w:rsidR="00BE3EBE" w:rsidRPr="00BE3EBE" w:rsidRDefault="00BE3EBE" w:rsidP="00BE3EBE">
      <w:pPr>
        <w:spacing w:before="150" w:after="30"/>
        <w:jc w:val="both"/>
        <w:outlineLvl w:val="1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2.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Quy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định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về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nguyên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tắc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khấu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trừ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hoàn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đối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với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hàng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hóa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dịch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vụ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xuất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khẩu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như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thế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nào</w:t>
      </w:r>
      <w:proofErr w:type="spellEnd"/>
      <w:r w:rsidRPr="00BE3EBE">
        <w:rPr>
          <w:rFonts w:ascii="Arial" w:eastAsia="Times New Roman" w:hAnsi="Arial" w:cs="Arial"/>
          <w:b/>
          <w:bCs/>
          <w:color w:val="000000"/>
          <w:sz w:val="26"/>
          <w:szCs w:val="26"/>
        </w:rPr>
        <w:t>?</w:t>
      </w:r>
    </w:p>
    <w:p w14:paraId="009CE027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Căn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cứ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16,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219/2013/TT-BTC (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sửa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đổi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bởi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11,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1,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26/2015/TT-BTC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7,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,3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119/2014/TT-BTC)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đầu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như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>:</w:t>
      </w:r>
    </w:p>
    <w:p w14:paraId="1D4FEE58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17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cần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đáp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thủ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2,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9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Khoản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15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1E7765F6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),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cung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tổ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biên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thúc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biên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chiếu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ghi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rõ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trị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ghi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ghi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thanh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tờ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ủy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658F51FD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Tờ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làm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xong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thủ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thủ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giám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sát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BE3EBE">
        <w:rPr>
          <w:rFonts w:ascii="Arial" w:eastAsia="Times New Roman" w:hAnsi="Arial" w:cs="Arial"/>
          <w:i/>
          <w:iCs/>
          <w:color w:val="333333"/>
          <w:sz w:val="26"/>
          <w:szCs w:val="26"/>
        </w:rPr>
        <w:t>.</w:t>
      </w:r>
    </w:p>
    <w:p w14:paraId="46494145" w14:textId="77777777" w:rsidR="00BE3EBE" w:rsidRPr="00BE3EBE" w:rsidRDefault="00BE3EBE" w:rsidP="00BE3EBE">
      <w:pPr>
        <w:spacing w:after="15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Như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vậy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việc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đối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với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hàng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hóa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dịch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vụ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xuất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khẩu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phải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đảm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bảo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nguyên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tắc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kiện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</w:rPr>
        <w:t>trên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14:paraId="0359DADF" w14:textId="7494788E" w:rsidR="00BE3EBE" w:rsidRDefault="00BE3EBE" w:rsidP="00BE3EBE">
      <w:pPr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1040/TCT-KK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2023,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hồ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sơ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NNT.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quả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kiểm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tra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NNT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đáp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lastRenderedPageBreak/>
        <w:t>ứng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lý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GTGT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đảm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kê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khấu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thì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Cục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thuế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quy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E3EB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</w:t>
      </w:r>
    </w:p>
    <w:p w14:paraId="7EE1DA04" w14:textId="5B1AE382" w:rsidR="00BE3EBE" w:rsidRPr="00BE3EBE" w:rsidRDefault="00BE3EBE" w:rsidP="00BE3EBE">
      <w:pPr>
        <w:spacing w:after="150"/>
        <w:jc w:val="right"/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val="vi-VN"/>
        </w:rPr>
      </w:pPr>
      <w:r w:rsidRPr="00BE3EBE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val="vi-VN"/>
        </w:rPr>
        <w:t>GV_Nguyễn Thị Đoan Trang</w:t>
      </w:r>
    </w:p>
    <w:p w14:paraId="4966F20E" w14:textId="77777777" w:rsidR="0057585F" w:rsidRPr="00BE3EBE" w:rsidRDefault="0057585F" w:rsidP="00BE3EBE">
      <w:pPr>
        <w:rPr>
          <w:rFonts w:ascii="Arial" w:hAnsi="Arial" w:cs="Arial"/>
          <w:sz w:val="26"/>
          <w:szCs w:val="26"/>
        </w:rPr>
      </w:pPr>
    </w:p>
    <w:sectPr w:rsidR="0057585F" w:rsidRPr="00BE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4162"/>
    <w:multiLevelType w:val="multilevel"/>
    <w:tmpl w:val="191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0E26"/>
    <w:multiLevelType w:val="multilevel"/>
    <w:tmpl w:val="F1A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62BF5"/>
    <w:multiLevelType w:val="multilevel"/>
    <w:tmpl w:val="306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959C8"/>
    <w:multiLevelType w:val="multilevel"/>
    <w:tmpl w:val="52B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BE"/>
    <w:rsid w:val="0057585F"/>
    <w:rsid w:val="00770A71"/>
    <w:rsid w:val="00B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2A763"/>
  <w15:chartTrackingRefBased/>
  <w15:docId w15:val="{3FF6EF35-73F8-9449-801C-303FCE6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E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3E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3EBE"/>
  </w:style>
  <w:style w:type="character" w:styleId="Hyperlink">
    <w:name w:val="Hyperlink"/>
    <w:basedOn w:val="DefaultParagraphFont"/>
    <w:uiPriority w:val="99"/>
    <w:semiHidden/>
    <w:unhideWhenUsed/>
    <w:rsid w:val="00BE3E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3E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E3EBE"/>
    <w:rPr>
      <w:i/>
      <w:iCs/>
    </w:rPr>
  </w:style>
  <w:style w:type="character" w:styleId="Strong">
    <w:name w:val="Strong"/>
    <w:basedOn w:val="DefaultParagraphFont"/>
    <w:uiPriority w:val="22"/>
    <w:qFormat/>
    <w:rsid w:val="00BE3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1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e-Phi-Le-Phi/Thong-tu-219-2013-TT-BTC-huong-dan-Luat-thue-gia-tri-gia-tang-va-Nghi-dinh-209-2013-ND-CP-22076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2023-04-16T00:33:00Z</dcterms:created>
  <dcterms:modified xsi:type="dcterms:W3CDTF">2023-04-16T00:43:00Z</dcterms:modified>
</cp:coreProperties>
</file>