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FC37" w14:textId="353D9740" w:rsidR="0063225E" w:rsidRPr="0063225E" w:rsidRDefault="0063225E" w:rsidP="002E5DFA">
      <w:pPr>
        <w:spacing w:before="120" w:after="120" w:line="360" w:lineRule="auto"/>
        <w:jc w:val="center"/>
        <w:outlineLvl w:val="2"/>
        <w:rPr>
          <w:rFonts w:ascii="Times New Roman" w:eastAsia="Times New Roman" w:hAnsi="Times New Roman" w:cs="Times New Roman"/>
          <w:b/>
          <w:bCs/>
          <w:caps/>
          <w:color w:val="000000" w:themeColor="text1"/>
          <w:sz w:val="26"/>
          <w:szCs w:val="26"/>
          <w:lang w:val="vi-VN"/>
        </w:rPr>
      </w:pPr>
      <w:r w:rsidRPr="0063225E">
        <w:rPr>
          <w:rFonts w:ascii="Times New Roman" w:eastAsia="Times New Roman" w:hAnsi="Times New Roman" w:cs="Times New Roman"/>
          <w:b/>
          <w:bCs/>
          <w:caps/>
          <w:color w:val="000000" w:themeColor="text1"/>
          <w:sz w:val="26"/>
          <w:szCs w:val="26"/>
        </w:rPr>
        <w:t xml:space="preserve">KỲ KÊ KHAI THUẾ </w:t>
      </w:r>
      <w:r w:rsidR="00407450">
        <w:rPr>
          <w:rFonts w:ascii="Times New Roman" w:eastAsia="Times New Roman" w:hAnsi="Times New Roman" w:cs="Times New Roman"/>
          <w:b/>
          <w:bCs/>
          <w:caps/>
          <w:color w:val="000000" w:themeColor="text1"/>
          <w:sz w:val="26"/>
          <w:szCs w:val="26"/>
        </w:rPr>
        <w:t>VÀ</w:t>
      </w:r>
      <w:r w:rsidR="00407450">
        <w:rPr>
          <w:rFonts w:ascii="Times New Roman" w:eastAsia="Times New Roman" w:hAnsi="Times New Roman" w:cs="Times New Roman"/>
          <w:b/>
          <w:bCs/>
          <w:caps/>
          <w:color w:val="000000" w:themeColor="text1"/>
          <w:sz w:val="26"/>
          <w:szCs w:val="26"/>
          <w:lang w:val="vi-VN"/>
        </w:rPr>
        <w:t xml:space="preserve"> MỘT SỐ LƯU Ý KHI KÊ KHAI THUẾ </w:t>
      </w:r>
      <w:r w:rsidR="00407450" w:rsidRPr="0063225E">
        <w:rPr>
          <w:rFonts w:ascii="Times New Roman" w:eastAsia="Times New Roman" w:hAnsi="Times New Roman" w:cs="Times New Roman"/>
          <w:b/>
          <w:bCs/>
          <w:caps/>
          <w:color w:val="000000" w:themeColor="text1"/>
          <w:sz w:val="26"/>
          <w:szCs w:val="26"/>
        </w:rPr>
        <w:t>GTGT</w:t>
      </w:r>
    </w:p>
    <w:p w14:paraId="349AA682" w14:textId="20EB4850" w:rsidR="0063225E" w:rsidRPr="0063225E" w:rsidRDefault="0063225E" w:rsidP="002E5DFA">
      <w:pPr>
        <w:spacing w:before="120" w:after="120" w:line="360" w:lineRule="auto"/>
        <w:jc w:val="both"/>
        <w:rPr>
          <w:rFonts w:ascii="Times New Roman" w:eastAsia="Times New Roman" w:hAnsi="Times New Roman" w:cs="Times New Roman"/>
          <w:i/>
          <w:iCs/>
        </w:rPr>
      </w:pPr>
      <w:r w:rsidRPr="0063225E">
        <w:rPr>
          <w:rStyle w:val="apple-converted-space"/>
          <w:rFonts w:ascii="Times New Roman" w:hAnsi="Times New Roman" w:cs="Times New Roman"/>
          <w:i/>
          <w:iCs/>
          <w:color w:val="000000" w:themeColor="text1"/>
          <w:sz w:val="26"/>
          <w:szCs w:val="26"/>
        </w:rPr>
        <w:t>Kê</w:t>
      </w:r>
      <w:r w:rsidRPr="0063225E">
        <w:rPr>
          <w:rStyle w:val="apple-converted-space"/>
          <w:rFonts w:ascii="Times New Roman" w:hAnsi="Times New Roman" w:cs="Times New Roman"/>
          <w:i/>
          <w:iCs/>
          <w:color w:val="000000" w:themeColor="text1"/>
          <w:sz w:val="26"/>
          <w:szCs w:val="26"/>
          <w:lang w:val="vi-VN"/>
        </w:rPr>
        <w:t xml:space="preserve"> khai thuế GTGT</w:t>
      </w:r>
      <w:r w:rsidRPr="0063225E">
        <w:rPr>
          <w:rStyle w:val="apple-converted-space"/>
          <w:rFonts w:ascii="Times New Roman" w:hAnsi="Times New Roman" w:cs="Times New Roman"/>
          <w:i/>
          <w:iCs/>
          <w:color w:val="000000" w:themeColor="text1"/>
          <w:sz w:val="26"/>
          <w:szCs w:val="26"/>
        </w:rPr>
        <w:t> </w:t>
      </w:r>
      <w:r w:rsidRPr="0063225E">
        <w:rPr>
          <w:rStyle w:val="Emphasis"/>
          <w:rFonts w:ascii="Times New Roman" w:hAnsi="Times New Roman" w:cs="Times New Roman"/>
          <w:i w:val="0"/>
          <w:iCs w:val="0"/>
          <w:color w:val="000000" w:themeColor="text1"/>
          <w:sz w:val="26"/>
          <w:szCs w:val="26"/>
          <w:lang w:val="vi-VN"/>
        </w:rPr>
        <w:t>(</w:t>
      </w:r>
      <w:r w:rsidRPr="0063225E">
        <w:rPr>
          <w:rStyle w:val="Emphasis"/>
          <w:rFonts w:ascii="Times New Roman" w:hAnsi="Times New Roman" w:cs="Times New Roman"/>
          <w:i w:val="0"/>
          <w:iCs w:val="0"/>
          <w:color w:val="000000" w:themeColor="text1"/>
          <w:sz w:val="26"/>
          <w:szCs w:val="26"/>
        </w:rPr>
        <w:t xml:space="preserve"> VAT</w:t>
      </w:r>
      <w:r w:rsidRPr="0063225E">
        <w:rPr>
          <w:rStyle w:val="Emphasis"/>
          <w:rFonts w:ascii="Times New Roman" w:hAnsi="Times New Roman" w:cs="Times New Roman"/>
          <w:i w:val="0"/>
          <w:iCs w:val="0"/>
          <w:color w:val="000000" w:themeColor="text1"/>
          <w:sz w:val="26"/>
          <w:szCs w:val="26"/>
          <w:lang w:val="vi-VN"/>
        </w:rPr>
        <w:t xml:space="preserve">) </w:t>
      </w:r>
      <w:r w:rsidRPr="0063225E">
        <w:rPr>
          <w:rStyle w:val="Emphasis"/>
          <w:rFonts w:ascii="Times New Roman" w:hAnsi="Times New Roman" w:cs="Times New Roman"/>
          <w:i w:val="0"/>
          <w:iCs w:val="0"/>
          <w:color w:val="000000" w:themeColor="text1"/>
          <w:sz w:val="26"/>
          <w:szCs w:val="26"/>
        </w:rPr>
        <w:t xml:space="preserve"> </w:t>
      </w:r>
      <w:r w:rsidRPr="0063225E">
        <w:rPr>
          <w:rStyle w:val="Emphasis"/>
          <w:rFonts w:ascii="Times New Roman" w:hAnsi="Times New Roman" w:cs="Times New Roman"/>
          <w:color w:val="000000" w:themeColor="text1"/>
          <w:sz w:val="26"/>
          <w:szCs w:val="26"/>
        </w:rPr>
        <w:t>là nghĩa vụ và trách nhiệm cơ bản nhất của người nộp thuế.</w:t>
      </w:r>
      <w:r w:rsidRPr="0063225E">
        <w:rPr>
          <w:rStyle w:val="Emphasis"/>
          <w:rFonts w:ascii="Times New Roman" w:hAnsi="Times New Roman" w:cs="Times New Roman"/>
          <w:i w:val="0"/>
          <w:iCs w:val="0"/>
          <w:color w:val="000000" w:themeColor="text1"/>
          <w:sz w:val="26"/>
          <w:szCs w:val="26"/>
          <w:lang w:val="vi-VN"/>
        </w:rPr>
        <w:t xml:space="preserve"> </w:t>
      </w:r>
      <w:r w:rsidRPr="0063225E">
        <w:rPr>
          <w:rFonts w:ascii="Times New Roman" w:eastAsia="Times New Roman" w:hAnsi="Times New Roman" w:cs="Times New Roman"/>
          <w:i/>
          <w:iCs/>
          <w:color w:val="000000" w:themeColor="text1"/>
          <w:sz w:val="26"/>
          <w:szCs w:val="26"/>
        </w:rPr>
        <w:t>Doanh nghiệp có nghĩa vụ nộp tờ khai </w:t>
      </w:r>
      <w:hyperlink r:id="rId4" w:history="1">
        <w:r w:rsidRPr="0063225E">
          <w:rPr>
            <w:rFonts w:ascii="Times New Roman" w:eastAsia="Times New Roman" w:hAnsi="Times New Roman" w:cs="Times New Roman"/>
            <w:i/>
            <w:iCs/>
            <w:color w:val="000000" w:themeColor="text1"/>
            <w:sz w:val="26"/>
            <w:szCs w:val="26"/>
          </w:rPr>
          <w:t>thuế GTGT</w:t>
        </w:r>
      </w:hyperlink>
      <w:r w:rsidRPr="0063225E">
        <w:rPr>
          <w:rFonts w:ascii="Times New Roman" w:eastAsia="Times New Roman" w:hAnsi="Times New Roman" w:cs="Times New Roman"/>
          <w:i/>
          <w:iCs/>
          <w:color w:val="000000" w:themeColor="text1"/>
          <w:sz w:val="26"/>
          <w:szCs w:val="26"/>
        </w:rPr>
        <w:t xml:space="preserve"> hằng kỳ để báo cáo cơ quan quản lý về nghĩa vụ thuế GTGT. </w:t>
      </w:r>
      <w:r w:rsidRPr="00407450">
        <w:rPr>
          <w:rFonts w:ascii="Times New Roman" w:hAnsi="Times New Roman" w:cs="Times New Roman"/>
          <w:i/>
          <w:iCs/>
          <w:color w:val="000000" w:themeColor="text1"/>
          <w:sz w:val="26"/>
          <w:szCs w:val="26"/>
        </w:rPr>
        <w:t>Theo</w:t>
      </w:r>
      <w:r w:rsidRPr="00407450">
        <w:rPr>
          <w:rFonts w:ascii="Times New Roman" w:hAnsi="Times New Roman" w:cs="Times New Roman"/>
          <w:i/>
          <w:iCs/>
          <w:color w:val="000000" w:themeColor="text1"/>
          <w:sz w:val="26"/>
          <w:szCs w:val="26"/>
          <w:lang w:val="vi-VN"/>
        </w:rPr>
        <w:t xml:space="preserve"> </w:t>
      </w:r>
      <w:r w:rsidR="00407450" w:rsidRPr="00407450">
        <w:rPr>
          <w:rFonts w:ascii="Times New Roman" w:eastAsia="Times New Roman" w:hAnsi="Times New Roman" w:cs="Times New Roman"/>
          <w:i/>
          <w:iCs/>
          <w:color w:val="333333"/>
          <w:sz w:val="23"/>
          <w:szCs w:val="23"/>
          <w:shd w:val="clear" w:color="auto" w:fill="FFFFFF"/>
        </w:rPr>
        <w:t>ghị định 126/2020/NĐ-CP</w:t>
      </w:r>
      <w:r w:rsidR="00407450">
        <w:rPr>
          <w:rFonts w:ascii="Times New Roman" w:eastAsia="Times New Roman" w:hAnsi="Times New Roman" w:cs="Times New Roman"/>
          <w:i/>
          <w:iCs/>
          <w:color w:val="333333"/>
          <w:sz w:val="23"/>
          <w:szCs w:val="23"/>
          <w:shd w:val="clear" w:color="auto" w:fill="FFFFFF"/>
          <w:lang w:val="vi-VN"/>
        </w:rPr>
        <w:t xml:space="preserve"> quy định </w:t>
      </w:r>
      <w:r w:rsidR="00407450">
        <w:rPr>
          <w:rFonts w:ascii="Times New Roman" w:eastAsia="Times New Roman" w:hAnsi="Times New Roman" w:cs="Times New Roman"/>
          <w:i/>
          <w:iCs/>
          <w:color w:val="000000" w:themeColor="text1"/>
          <w:sz w:val="26"/>
          <w:szCs w:val="26"/>
          <w:lang w:val="vi-VN"/>
        </w:rPr>
        <w:t>c</w:t>
      </w:r>
      <w:r w:rsidRPr="0063225E">
        <w:rPr>
          <w:rFonts w:ascii="Times New Roman" w:eastAsia="Times New Roman" w:hAnsi="Times New Roman" w:cs="Times New Roman"/>
          <w:i/>
          <w:iCs/>
          <w:color w:val="000000" w:themeColor="text1"/>
          <w:sz w:val="26"/>
          <w:szCs w:val="26"/>
        </w:rPr>
        <w:t>ó 2 kỳ kê khai thuế GTGT: kỳ kê khai thuế theo tháng và theo quý. Vậy đối tượng nào cần thực hiện kê khai thuế GTGT theo tháng, đối tượng nào được kê khai thuế GTGT theo quý? Doanh nghiệp không phát sinh hoạt động mua bán có cần nộp tờ khai…? Chi tiết được quy định như dưới</w:t>
      </w:r>
      <w:r w:rsidRPr="0063225E">
        <w:rPr>
          <w:rFonts w:ascii="Times New Roman" w:eastAsia="Times New Roman" w:hAnsi="Times New Roman" w:cs="Times New Roman"/>
          <w:color w:val="000000" w:themeColor="text1"/>
          <w:sz w:val="26"/>
          <w:szCs w:val="26"/>
        </w:rPr>
        <w:t xml:space="preserve"> đây:</w:t>
      </w:r>
    </w:p>
    <w:p w14:paraId="2BF2A04B" w14:textId="77777777" w:rsidR="0063225E" w:rsidRPr="0063225E" w:rsidRDefault="0063225E" w:rsidP="002E5DFA">
      <w:pPr>
        <w:spacing w:before="120" w:after="120" w:line="360" w:lineRule="auto"/>
        <w:jc w:val="both"/>
        <w:outlineLvl w:val="4"/>
        <w:rPr>
          <w:rFonts w:ascii="Times New Roman" w:eastAsia="Times New Roman" w:hAnsi="Times New Roman" w:cs="Times New Roman"/>
          <w:color w:val="000000" w:themeColor="text1"/>
          <w:sz w:val="26"/>
          <w:szCs w:val="26"/>
        </w:rPr>
      </w:pPr>
      <w:r w:rsidRPr="0063225E">
        <w:rPr>
          <w:rFonts w:ascii="Times New Roman" w:eastAsia="Times New Roman" w:hAnsi="Times New Roman" w:cs="Times New Roman"/>
          <w:b/>
          <w:bCs/>
          <w:color w:val="000000" w:themeColor="text1"/>
          <w:sz w:val="26"/>
          <w:szCs w:val="26"/>
        </w:rPr>
        <w:t>1. Đối tượng kê khai thuế GTGT theo quý</w:t>
      </w:r>
    </w:p>
    <w:p w14:paraId="2E6825ED" w14:textId="3AB5256F" w:rsidR="0063225E" w:rsidRPr="0063225E" w:rsidRDefault="0063225E" w:rsidP="002E5DFA">
      <w:pPr>
        <w:spacing w:before="120" w:after="120" w:line="360" w:lineRule="auto"/>
        <w:jc w:val="both"/>
        <w:rPr>
          <w:rFonts w:ascii="Times New Roman" w:eastAsia="Times New Roman" w:hAnsi="Times New Roman" w:cs="Times New Roman"/>
          <w:color w:val="000000" w:themeColor="text1"/>
          <w:sz w:val="26"/>
          <w:szCs w:val="26"/>
        </w:rPr>
      </w:pPr>
      <w:r w:rsidRPr="0063225E">
        <w:rPr>
          <w:rFonts w:ascii="Times New Roman" w:eastAsia="Times New Roman" w:hAnsi="Times New Roman" w:cs="Times New Roman"/>
          <w:color w:val="000000" w:themeColor="text1"/>
          <w:sz w:val="26"/>
          <w:szCs w:val="26"/>
        </w:rPr>
        <w:t>Theo Điều 9, Thông tư 126/2020/NĐ-CP, người nộp thuế thực hiện kê khai thuế GTGT theo quý nếu tổng doanh thu bán hàng hóa và cung cấp dịch vụ trên các tờ khai thuế GTGT của năm trước liền kề từ 50 tỷ đồng trở xuống.</w:t>
      </w:r>
      <w:r w:rsidR="00407450">
        <w:rPr>
          <w:rFonts w:ascii="Times New Roman" w:eastAsia="Times New Roman" w:hAnsi="Times New Roman" w:cs="Times New Roman"/>
          <w:color w:val="000000" w:themeColor="text1"/>
          <w:sz w:val="26"/>
          <w:szCs w:val="26"/>
          <w:lang w:val="vi-VN"/>
        </w:rPr>
        <w:t xml:space="preserve"> </w:t>
      </w:r>
      <w:r w:rsidRPr="0063225E">
        <w:rPr>
          <w:rFonts w:ascii="Times New Roman" w:eastAsia="Times New Roman" w:hAnsi="Times New Roman" w:cs="Times New Roman"/>
          <w:color w:val="000000" w:themeColor="text1"/>
          <w:sz w:val="26"/>
          <w:szCs w:val="26"/>
        </w:rPr>
        <w:t>Nếu đơn vị đủ điều kiện kê khai thuế theo quý thì đơn vị có thể được lựa chọn kê khai thuế theo tháng hoặc theo quý từ năm tiếp theo của năm đó. Nếu muốn chuyển đổi kỳ kê khai từ tháng sang quý thì công ty gửi Phụ lục I theo Nghị định 126/2020/NĐ-CP đến cơ quan quản lý trực tiếp chậm nhất ngày 31/01 của năm tiếp theo</w:t>
      </w:r>
      <w:r w:rsidR="00407450">
        <w:rPr>
          <w:rFonts w:ascii="Times New Roman" w:eastAsia="Times New Roman" w:hAnsi="Times New Roman" w:cs="Times New Roman"/>
          <w:color w:val="000000" w:themeColor="text1"/>
          <w:sz w:val="26"/>
          <w:szCs w:val="26"/>
          <w:lang w:val="vi-VN"/>
        </w:rPr>
        <w:t xml:space="preserve">. </w:t>
      </w:r>
      <w:r w:rsidRPr="0063225E">
        <w:rPr>
          <w:rFonts w:ascii="Times New Roman" w:eastAsia="Times New Roman" w:hAnsi="Times New Roman" w:cs="Times New Roman"/>
          <w:color w:val="000000" w:themeColor="text1"/>
          <w:sz w:val="26"/>
          <w:szCs w:val="26"/>
        </w:rPr>
        <w:t>Nếu đơn vị phát hiện không đủ điều kiện khai thuế theo quý thì đơn vị phải thực hiện như sau:</w:t>
      </w:r>
    </w:p>
    <w:p w14:paraId="6C83BC5A" w14:textId="43F5DEDA" w:rsidR="0063225E" w:rsidRPr="0063225E" w:rsidRDefault="00407450" w:rsidP="002E5DFA">
      <w:pPr>
        <w:spacing w:before="120" w:after="12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w:t>
      </w:r>
      <w:r w:rsidR="0063225E" w:rsidRPr="0063225E">
        <w:rPr>
          <w:rFonts w:ascii="Times New Roman" w:eastAsia="Times New Roman" w:hAnsi="Times New Roman" w:cs="Times New Roman"/>
          <w:b/>
          <w:bCs/>
          <w:color w:val="000000" w:themeColor="text1"/>
          <w:sz w:val="26"/>
          <w:szCs w:val="26"/>
        </w:rPr>
        <w:t> </w:t>
      </w:r>
      <w:r w:rsidR="0063225E" w:rsidRPr="0063225E">
        <w:rPr>
          <w:rFonts w:ascii="Times New Roman" w:eastAsia="Times New Roman" w:hAnsi="Times New Roman" w:cs="Times New Roman"/>
          <w:color w:val="000000" w:themeColor="text1"/>
          <w:sz w:val="26"/>
          <w:szCs w:val="26"/>
        </w:rPr>
        <w:t>Chuyển sang kê khai thuế theo tháng từ tháng đầu tiên phát hiện;</w:t>
      </w:r>
    </w:p>
    <w:p w14:paraId="14DDBEEF" w14:textId="4C935458" w:rsidR="0063225E" w:rsidRPr="0063225E" w:rsidRDefault="00407450" w:rsidP="002E5DFA">
      <w:pPr>
        <w:spacing w:before="120" w:after="12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 </w:t>
      </w:r>
      <w:r w:rsidR="0063225E" w:rsidRPr="0063225E">
        <w:rPr>
          <w:rFonts w:ascii="Times New Roman" w:eastAsia="Times New Roman" w:hAnsi="Times New Roman" w:cs="Times New Roman"/>
          <w:color w:val="000000" w:themeColor="text1"/>
          <w:sz w:val="26"/>
          <w:szCs w:val="26"/>
        </w:rPr>
        <w:t>Nộp bản xác định số tiền thuế phải nộp theo tháng tăng thêm so với số đã kê khai theo quý được quy định theo Phụ lục I Nghị định 126/2020/NĐ-CP xác định tiền thuế GTGT, nộp thuế tăng thêm nếu có cùng tiền chậm nộp;</w:t>
      </w:r>
    </w:p>
    <w:p w14:paraId="19F2A294" w14:textId="10B7F562" w:rsidR="0063225E" w:rsidRPr="0063225E" w:rsidRDefault="00407450" w:rsidP="002E5DFA">
      <w:pPr>
        <w:spacing w:before="120" w:after="12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 </w:t>
      </w:r>
      <w:r w:rsidR="0063225E" w:rsidRPr="0063225E">
        <w:rPr>
          <w:rFonts w:ascii="Times New Roman" w:eastAsia="Times New Roman" w:hAnsi="Times New Roman" w:cs="Times New Roman"/>
          <w:color w:val="000000" w:themeColor="text1"/>
          <w:sz w:val="26"/>
          <w:szCs w:val="26"/>
        </w:rPr>
        <w:t>Không phải nộp lại hồ sơ khai thuế theo tháng của các quý trước đó.</w:t>
      </w:r>
    </w:p>
    <w:p w14:paraId="0C53D3BF" w14:textId="77777777" w:rsidR="0063225E" w:rsidRPr="0063225E" w:rsidRDefault="0063225E" w:rsidP="002E5DFA">
      <w:pPr>
        <w:spacing w:before="120" w:after="120" w:line="360" w:lineRule="auto"/>
        <w:jc w:val="both"/>
        <w:outlineLvl w:val="4"/>
        <w:rPr>
          <w:rFonts w:ascii="Times New Roman" w:eastAsia="Times New Roman" w:hAnsi="Times New Roman" w:cs="Times New Roman"/>
          <w:color w:val="000000" w:themeColor="text1"/>
          <w:sz w:val="26"/>
          <w:szCs w:val="26"/>
        </w:rPr>
      </w:pPr>
      <w:r w:rsidRPr="0063225E">
        <w:rPr>
          <w:rFonts w:ascii="Times New Roman" w:eastAsia="Times New Roman" w:hAnsi="Times New Roman" w:cs="Times New Roman"/>
          <w:b/>
          <w:bCs/>
          <w:color w:val="000000" w:themeColor="text1"/>
          <w:sz w:val="26"/>
          <w:szCs w:val="26"/>
        </w:rPr>
        <w:t>2. Đối tượng kê khai thuế GTGT theo tháng</w:t>
      </w:r>
    </w:p>
    <w:p w14:paraId="06EF00E9" w14:textId="77777777" w:rsidR="0063225E" w:rsidRPr="0063225E" w:rsidRDefault="0063225E" w:rsidP="002E5DFA">
      <w:pPr>
        <w:spacing w:before="120" w:after="120" w:line="360" w:lineRule="auto"/>
        <w:jc w:val="both"/>
        <w:rPr>
          <w:rFonts w:ascii="Times New Roman" w:eastAsia="Times New Roman" w:hAnsi="Times New Roman" w:cs="Times New Roman"/>
          <w:color w:val="000000" w:themeColor="text1"/>
          <w:sz w:val="26"/>
          <w:szCs w:val="26"/>
        </w:rPr>
      </w:pPr>
      <w:r w:rsidRPr="0063225E">
        <w:rPr>
          <w:rFonts w:ascii="Times New Roman" w:eastAsia="Times New Roman" w:hAnsi="Times New Roman" w:cs="Times New Roman"/>
          <w:color w:val="000000" w:themeColor="text1"/>
          <w:sz w:val="26"/>
          <w:szCs w:val="26"/>
        </w:rPr>
        <w:t>Theo Điều 8, Thông tư 126/2020/NĐ-CP, khai thuế giá trị gia tăng theo tháng áp dụng đối với đơn vị có tổng doanh thu trên các tờ khai thuế GTGT của năm trước liền kề từ bán hàng hóa và cung cấp dịch vụ trên 50 tỷ đồng.</w:t>
      </w:r>
    </w:p>
    <w:p w14:paraId="0173BCE0" w14:textId="77777777" w:rsidR="002E5DFA" w:rsidRDefault="002E5DFA" w:rsidP="002E5DFA">
      <w:pPr>
        <w:spacing w:before="120" w:after="120" w:line="360" w:lineRule="auto"/>
        <w:jc w:val="both"/>
        <w:outlineLvl w:val="4"/>
        <w:rPr>
          <w:rFonts w:ascii="Times New Roman" w:eastAsia="Times New Roman" w:hAnsi="Times New Roman" w:cs="Times New Roman"/>
          <w:b/>
          <w:bCs/>
          <w:color w:val="000000" w:themeColor="text1"/>
          <w:sz w:val="26"/>
          <w:szCs w:val="26"/>
        </w:rPr>
      </w:pPr>
    </w:p>
    <w:p w14:paraId="70ACC61D" w14:textId="3ECAB44D" w:rsidR="0063225E" w:rsidRPr="0063225E" w:rsidRDefault="0063225E" w:rsidP="002E5DFA">
      <w:pPr>
        <w:spacing w:before="120" w:after="120" w:line="360" w:lineRule="auto"/>
        <w:jc w:val="both"/>
        <w:outlineLvl w:val="4"/>
        <w:rPr>
          <w:rFonts w:ascii="Times New Roman" w:eastAsia="Times New Roman" w:hAnsi="Times New Roman" w:cs="Times New Roman"/>
          <w:color w:val="000000" w:themeColor="text1"/>
          <w:sz w:val="26"/>
          <w:szCs w:val="26"/>
        </w:rPr>
      </w:pPr>
      <w:r w:rsidRPr="0063225E">
        <w:rPr>
          <w:rFonts w:ascii="Times New Roman" w:eastAsia="Times New Roman" w:hAnsi="Times New Roman" w:cs="Times New Roman"/>
          <w:b/>
          <w:bCs/>
          <w:color w:val="000000" w:themeColor="text1"/>
          <w:sz w:val="26"/>
          <w:szCs w:val="26"/>
        </w:rPr>
        <w:lastRenderedPageBreak/>
        <w:t>3. Một số trường hợp lưu ý khi kê khai thuế GTGT</w:t>
      </w:r>
    </w:p>
    <w:p w14:paraId="0D5B7026" w14:textId="1734C8A1" w:rsidR="0063225E" w:rsidRPr="0063225E" w:rsidRDefault="00407450" w:rsidP="002E5DFA">
      <w:pPr>
        <w:spacing w:before="120" w:after="120" w:line="360" w:lineRule="auto"/>
        <w:jc w:val="both"/>
        <w:rPr>
          <w:rFonts w:ascii="Times New Roman" w:eastAsia="Times New Roman" w:hAnsi="Times New Roman" w:cs="Times New Roman"/>
          <w:color w:val="000000" w:themeColor="text1"/>
          <w:sz w:val="26"/>
          <w:szCs w:val="26"/>
        </w:rPr>
      </w:pPr>
      <w:r>
        <w:rPr>
          <w:rFonts w:ascii="Segoe UI Symbol" w:eastAsia="Times New Roman" w:hAnsi="Segoe UI Symbol" w:cs="Segoe UI Symbol"/>
          <w:color w:val="000000" w:themeColor="text1"/>
          <w:sz w:val="26"/>
          <w:szCs w:val="26"/>
          <w:lang w:val="vi-VN"/>
        </w:rPr>
        <w:t xml:space="preserve">- </w:t>
      </w:r>
      <w:r w:rsidR="0063225E" w:rsidRPr="0063225E">
        <w:rPr>
          <w:rFonts w:ascii="Times New Roman" w:eastAsia="Times New Roman" w:hAnsi="Times New Roman" w:cs="Times New Roman"/>
          <w:color w:val="000000" w:themeColor="text1"/>
          <w:sz w:val="26"/>
          <w:szCs w:val="26"/>
        </w:rPr>
        <w:t>Đối với doanh nghiệp mới thành lập:</w:t>
      </w:r>
      <w:r>
        <w:rPr>
          <w:rFonts w:ascii="Times New Roman" w:eastAsia="Times New Roman" w:hAnsi="Times New Roman" w:cs="Times New Roman"/>
          <w:color w:val="000000" w:themeColor="text1"/>
          <w:sz w:val="26"/>
          <w:szCs w:val="26"/>
          <w:lang w:val="vi-VN"/>
        </w:rPr>
        <w:t xml:space="preserve"> </w:t>
      </w:r>
      <w:r w:rsidR="0063225E" w:rsidRPr="0063225E">
        <w:rPr>
          <w:rFonts w:ascii="Times New Roman" w:eastAsia="Times New Roman" w:hAnsi="Times New Roman" w:cs="Times New Roman"/>
          <w:color w:val="000000" w:themeColor="text1"/>
          <w:sz w:val="26"/>
          <w:szCs w:val="26"/>
        </w:rPr>
        <w:t>Đơn vị mới thành lập sẽ được lựa chọn khai thuế GTGT theo quý. Sau khi hoạt động đủ 12 tháng, đơn vị căn cứ vào doanh thu của năm trước liền kề (năm dương lịch đủ 12 tháng đầu tiên) để xác định kỳ kê khai theo tháng hoặc quý.</w:t>
      </w:r>
    </w:p>
    <w:p w14:paraId="048A88E8" w14:textId="4CCBEB0E" w:rsidR="0063225E" w:rsidRPr="0063225E" w:rsidRDefault="00407450" w:rsidP="002E5DFA">
      <w:pPr>
        <w:spacing w:before="120" w:after="120" w:line="360" w:lineRule="auto"/>
        <w:jc w:val="both"/>
        <w:rPr>
          <w:rFonts w:ascii="Times New Roman" w:eastAsia="Times New Roman" w:hAnsi="Times New Roman" w:cs="Times New Roman"/>
          <w:color w:val="000000" w:themeColor="text1"/>
          <w:sz w:val="26"/>
          <w:szCs w:val="26"/>
        </w:rPr>
      </w:pPr>
      <w:r>
        <w:rPr>
          <w:rFonts w:ascii="Segoe UI Symbol" w:eastAsia="Times New Roman" w:hAnsi="Segoe UI Symbol" w:cs="Segoe UI Symbol"/>
          <w:color w:val="000000" w:themeColor="text1"/>
          <w:sz w:val="26"/>
          <w:szCs w:val="26"/>
          <w:lang w:val="vi-VN"/>
        </w:rPr>
        <w:t xml:space="preserve">- </w:t>
      </w:r>
      <w:r w:rsidR="0063225E" w:rsidRPr="0063225E">
        <w:rPr>
          <w:rFonts w:ascii="Times New Roman" w:eastAsia="Times New Roman" w:hAnsi="Times New Roman" w:cs="Times New Roman"/>
          <w:color w:val="000000" w:themeColor="text1"/>
          <w:sz w:val="26"/>
          <w:szCs w:val="26"/>
        </w:rPr>
        <w:t>Công ty giai đoạn mới thành lập hoặc các công ty đã hoạt động nhưng không phát sinh hóa đơn bán ra, mua vào hoặc người nộp thuế đang thuộc diện được hưởng ưu đãi, miễn giảm thuế thì người nộp thuế vẫn phải nộp hồ sơ khai thuế cho cơ quan thuế theo đúng thời hạn quy định, trừ trường hợp đã chấm dứt hoạt động kinh doanh và trường hợp tạm ngừng kinh doanh các trường hợp không phải nộp hồ sơ khai thuế</w:t>
      </w:r>
      <w:r>
        <w:rPr>
          <w:rFonts w:ascii="Times New Roman" w:eastAsia="Times New Roman" w:hAnsi="Times New Roman" w:cs="Times New Roman"/>
          <w:color w:val="000000" w:themeColor="text1"/>
          <w:sz w:val="26"/>
          <w:szCs w:val="26"/>
          <w:lang w:val="vi-VN"/>
        </w:rPr>
        <w:t xml:space="preserve">. </w:t>
      </w:r>
      <w:r w:rsidR="0063225E" w:rsidRPr="0063225E">
        <w:rPr>
          <w:rFonts w:ascii="Times New Roman" w:eastAsia="Times New Roman" w:hAnsi="Times New Roman" w:cs="Times New Roman"/>
          <w:color w:val="000000" w:themeColor="text1"/>
          <w:sz w:val="26"/>
          <w:szCs w:val="26"/>
        </w:rPr>
        <w:t>Theo đó, các công ty không phát sinh doanh thu, không có hóa đơn mua vào vẫn cần nộp tờ khai thuế GTGT.</w:t>
      </w:r>
    </w:p>
    <w:p w14:paraId="53E6222D" w14:textId="6E4A18B3" w:rsidR="0063225E" w:rsidRPr="0063225E" w:rsidRDefault="002E5DFA" w:rsidP="002E5DFA">
      <w:pPr>
        <w:spacing w:before="120" w:after="120" w:line="360" w:lineRule="auto"/>
        <w:jc w:val="both"/>
        <w:rPr>
          <w:rFonts w:ascii="Times New Roman" w:eastAsia="Times New Roman" w:hAnsi="Times New Roman" w:cs="Times New Roman"/>
          <w:color w:val="000000" w:themeColor="text1"/>
          <w:sz w:val="26"/>
          <w:szCs w:val="26"/>
        </w:rPr>
      </w:pPr>
      <w:r>
        <w:rPr>
          <w:rFonts w:ascii="Segoe UI Symbol" w:eastAsia="Times New Roman" w:hAnsi="Segoe UI Symbol" w:cs="Segoe UI Symbol"/>
          <w:color w:val="000000" w:themeColor="text1"/>
          <w:sz w:val="26"/>
          <w:szCs w:val="26"/>
          <w:lang w:val="vi-VN"/>
        </w:rPr>
        <w:t xml:space="preserve">- </w:t>
      </w:r>
      <w:r w:rsidR="0063225E" w:rsidRPr="0063225E">
        <w:rPr>
          <w:rFonts w:ascii="Times New Roman" w:eastAsia="Times New Roman" w:hAnsi="Times New Roman" w:cs="Times New Roman"/>
          <w:color w:val="000000" w:themeColor="text1"/>
          <w:sz w:val="26"/>
          <w:szCs w:val="26"/>
        </w:rPr>
        <w:t>Đối với kỳ kê khai của chi nhánh:</w:t>
      </w:r>
      <w:r>
        <w:rPr>
          <w:rFonts w:ascii="Times New Roman" w:eastAsia="Times New Roman" w:hAnsi="Times New Roman" w:cs="Times New Roman"/>
          <w:color w:val="000000" w:themeColor="text1"/>
          <w:sz w:val="26"/>
          <w:szCs w:val="26"/>
          <w:lang w:val="vi-VN"/>
        </w:rPr>
        <w:t xml:space="preserve"> </w:t>
      </w:r>
      <w:r w:rsidR="0063225E" w:rsidRPr="0063225E">
        <w:rPr>
          <w:rFonts w:ascii="Times New Roman" w:eastAsia="Times New Roman" w:hAnsi="Times New Roman" w:cs="Times New Roman"/>
          <w:color w:val="000000" w:themeColor="text1"/>
          <w:sz w:val="26"/>
          <w:szCs w:val="26"/>
        </w:rPr>
        <w:t>Đối với đơn vị thực hiện khai thuế tập trung cho địa điểm kinh doanh, đơn vị phụ thuộc tại trụ sở chính, doanh thu để xác định nộp thuế theo tháng hoặc quý cần tính thêm cả doanh thu của đơn vị phụ thuộc, địa điểm kinh doanh. </w:t>
      </w:r>
    </w:p>
    <w:p w14:paraId="18A6F42A" w14:textId="2200FBB6" w:rsidR="0063225E" w:rsidRPr="0063225E" w:rsidRDefault="002E5DFA" w:rsidP="002E5DFA">
      <w:pPr>
        <w:spacing w:before="120" w:after="120"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lang w:val="vi-VN"/>
        </w:rPr>
        <w:t xml:space="preserve">- </w:t>
      </w:r>
      <w:r w:rsidR="0063225E" w:rsidRPr="0063225E">
        <w:rPr>
          <w:rFonts w:ascii="Times New Roman" w:eastAsia="Times New Roman" w:hAnsi="Times New Roman" w:cs="Times New Roman"/>
          <w:color w:val="000000" w:themeColor="text1"/>
          <w:sz w:val="26"/>
          <w:szCs w:val="26"/>
        </w:rPr>
        <w:t>Đối với cơ sở kinh doanh tạm ngưng hoạt động:</w:t>
      </w:r>
    </w:p>
    <w:p w14:paraId="57F1AD86" w14:textId="77777777" w:rsidR="0063225E" w:rsidRPr="0063225E" w:rsidRDefault="0063225E" w:rsidP="002E5DFA">
      <w:pPr>
        <w:spacing w:before="120" w:after="120" w:line="360" w:lineRule="auto"/>
        <w:jc w:val="both"/>
        <w:rPr>
          <w:rFonts w:ascii="Times New Roman" w:eastAsia="Times New Roman" w:hAnsi="Times New Roman" w:cs="Times New Roman"/>
          <w:color w:val="000000" w:themeColor="text1"/>
          <w:sz w:val="26"/>
          <w:szCs w:val="26"/>
        </w:rPr>
      </w:pPr>
      <w:r w:rsidRPr="0063225E">
        <w:rPr>
          <w:rFonts w:ascii="Times New Roman" w:eastAsia="Times New Roman" w:hAnsi="Times New Roman" w:cs="Times New Roman"/>
          <w:color w:val="000000" w:themeColor="text1"/>
          <w:sz w:val="26"/>
          <w:szCs w:val="26"/>
        </w:rPr>
        <w:t>Trước khi</w:t>
      </w:r>
      <w:hyperlink r:id="rId5" w:history="1">
        <w:r w:rsidRPr="0063225E">
          <w:rPr>
            <w:rFonts w:ascii="Times New Roman" w:eastAsia="Times New Roman" w:hAnsi="Times New Roman" w:cs="Times New Roman"/>
            <w:color w:val="000000" w:themeColor="text1"/>
            <w:sz w:val="26"/>
            <w:szCs w:val="26"/>
          </w:rPr>
          <w:t> tạm ngừng kinh doanh</w:t>
        </w:r>
      </w:hyperlink>
      <w:r w:rsidRPr="0063225E">
        <w:rPr>
          <w:rFonts w:ascii="Times New Roman" w:eastAsia="Times New Roman" w:hAnsi="Times New Roman" w:cs="Times New Roman"/>
          <w:color w:val="000000" w:themeColor="text1"/>
          <w:sz w:val="26"/>
          <w:szCs w:val="26"/>
        </w:rPr>
        <w:t>, đơn vị phải nộp đủ tờ khai thuế GTGT tháng/quý. Trong thời gian tạm ngừng kinh doanh, đơn vị không phát sinh nghĩa vụ thuế GTGT thì không phải nộp tờ khai thuế GTGT của thời gian tạm ngừng kinh doanh.</w:t>
      </w:r>
    </w:p>
    <w:p w14:paraId="6D9AC558" w14:textId="77777777" w:rsidR="0063225E" w:rsidRPr="0063225E" w:rsidRDefault="0063225E" w:rsidP="002E5DFA">
      <w:pPr>
        <w:spacing w:before="120" w:after="120" w:line="360" w:lineRule="auto"/>
        <w:jc w:val="both"/>
        <w:rPr>
          <w:rFonts w:ascii="Times New Roman" w:eastAsia="Times New Roman" w:hAnsi="Times New Roman" w:cs="Times New Roman"/>
          <w:color w:val="000000" w:themeColor="text1"/>
          <w:sz w:val="26"/>
          <w:szCs w:val="26"/>
        </w:rPr>
      </w:pPr>
      <w:r w:rsidRPr="0063225E">
        <w:rPr>
          <w:rFonts w:ascii="Times New Roman" w:eastAsia="Times New Roman" w:hAnsi="Times New Roman" w:cs="Times New Roman"/>
          <w:color w:val="000000" w:themeColor="text1"/>
          <w:sz w:val="26"/>
          <w:szCs w:val="26"/>
        </w:rPr>
        <w:t>Trường hợp đơn vị tạm ngừng kinh doanh không trọn tháng/quý thì vẫn phải nộp tờ khai thuế GTGT theo tháng/quý đó. Sau khi tạm ngừng kinh doanh, đơn vị kê khai thuế GTGT theo kỳ của kỳ trước khi tạm ngừng.</w:t>
      </w:r>
    </w:p>
    <w:p w14:paraId="21FFC19F" w14:textId="77777777" w:rsidR="0063225E" w:rsidRPr="0063225E" w:rsidRDefault="0063225E" w:rsidP="002E5DFA">
      <w:pPr>
        <w:spacing w:before="120" w:after="120" w:line="360" w:lineRule="auto"/>
        <w:jc w:val="both"/>
        <w:rPr>
          <w:rFonts w:ascii="Times New Roman" w:hAnsi="Times New Roman" w:cs="Times New Roman"/>
          <w:color w:val="000000" w:themeColor="text1"/>
          <w:sz w:val="26"/>
          <w:szCs w:val="26"/>
        </w:rPr>
      </w:pPr>
    </w:p>
    <w:sectPr w:rsidR="0063225E" w:rsidRPr="006322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5E"/>
    <w:rsid w:val="002E5DFA"/>
    <w:rsid w:val="00407450"/>
    <w:rsid w:val="0063225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CF60"/>
  <w15:chartTrackingRefBased/>
  <w15:docId w15:val="{D0586845-8524-B849-857D-6D33694A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2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3225E"/>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63225E"/>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225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63225E"/>
    <w:rPr>
      <w:rFonts w:ascii="Times New Roman" w:eastAsia="Times New Roman" w:hAnsi="Times New Roman" w:cs="Times New Roman"/>
      <w:b/>
      <w:bCs/>
      <w:sz w:val="20"/>
      <w:szCs w:val="20"/>
    </w:rPr>
  </w:style>
  <w:style w:type="character" w:styleId="Strong">
    <w:name w:val="Strong"/>
    <w:basedOn w:val="DefaultParagraphFont"/>
    <w:uiPriority w:val="22"/>
    <w:qFormat/>
    <w:rsid w:val="0063225E"/>
    <w:rPr>
      <w:b/>
      <w:bCs/>
    </w:rPr>
  </w:style>
  <w:style w:type="paragraph" w:styleId="NormalWeb">
    <w:name w:val="Normal (Web)"/>
    <w:basedOn w:val="Normal"/>
    <w:uiPriority w:val="99"/>
    <w:unhideWhenUsed/>
    <w:rsid w:val="0063225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3225E"/>
  </w:style>
  <w:style w:type="character" w:styleId="Hyperlink">
    <w:name w:val="Hyperlink"/>
    <w:basedOn w:val="DefaultParagraphFont"/>
    <w:uiPriority w:val="99"/>
    <w:semiHidden/>
    <w:unhideWhenUsed/>
    <w:rsid w:val="0063225E"/>
    <w:rPr>
      <w:color w:val="0000FF"/>
      <w:u w:val="single"/>
    </w:rPr>
  </w:style>
  <w:style w:type="paragraph" w:customStyle="1" w:styleId="fw-bold">
    <w:name w:val="fw-bold"/>
    <w:basedOn w:val="Normal"/>
    <w:rsid w:val="0063225E"/>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3225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322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21230">
      <w:bodyDiv w:val="1"/>
      <w:marLeft w:val="0"/>
      <w:marRight w:val="0"/>
      <w:marTop w:val="0"/>
      <w:marBottom w:val="0"/>
      <w:divBdr>
        <w:top w:val="none" w:sz="0" w:space="0" w:color="auto"/>
        <w:left w:val="none" w:sz="0" w:space="0" w:color="auto"/>
        <w:bottom w:val="none" w:sz="0" w:space="0" w:color="auto"/>
        <w:right w:val="none" w:sz="0" w:space="0" w:color="auto"/>
      </w:divBdr>
    </w:div>
    <w:div w:id="721639103">
      <w:bodyDiv w:val="1"/>
      <w:marLeft w:val="0"/>
      <w:marRight w:val="0"/>
      <w:marTop w:val="0"/>
      <w:marBottom w:val="0"/>
      <w:divBdr>
        <w:top w:val="none" w:sz="0" w:space="0" w:color="auto"/>
        <w:left w:val="none" w:sz="0" w:space="0" w:color="auto"/>
        <w:bottom w:val="none" w:sz="0" w:space="0" w:color="auto"/>
        <w:right w:val="none" w:sz="0" w:space="0" w:color="auto"/>
      </w:divBdr>
      <w:divsChild>
        <w:div w:id="1324311850">
          <w:marLeft w:val="0"/>
          <w:marRight w:val="0"/>
          <w:marTop w:val="0"/>
          <w:marBottom w:val="150"/>
          <w:divBdr>
            <w:top w:val="none" w:sz="0" w:space="0" w:color="auto"/>
            <w:left w:val="none" w:sz="0" w:space="0" w:color="auto"/>
            <w:bottom w:val="none" w:sz="0" w:space="0" w:color="auto"/>
            <w:right w:val="none" w:sz="0" w:space="0" w:color="auto"/>
          </w:divBdr>
        </w:div>
      </w:divsChild>
    </w:div>
    <w:div w:id="1072266349">
      <w:bodyDiv w:val="1"/>
      <w:marLeft w:val="0"/>
      <w:marRight w:val="0"/>
      <w:marTop w:val="0"/>
      <w:marBottom w:val="0"/>
      <w:divBdr>
        <w:top w:val="none" w:sz="0" w:space="0" w:color="auto"/>
        <w:left w:val="none" w:sz="0" w:space="0" w:color="auto"/>
        <w:bottom w:val="none" w:sz="0" w:space="0" w:color="auto"/>
        <w:right w:val="none" w:sz="0" w:space="0" w:color="auto"/>
      </w:divBdr>
      <w:divsChild>
        <w:div w:id="551577974">
          <w:marLeft w:val="0"/>
          <w:marRight w:val="0"/>
          <w:marTop w:val="0"/>
          <w:marBottom w:val="0"/>
          <w:divBdr>
            <w:top w:val="none" w:sz="0" w:space="0" w:color="auto"/>
            <w:left w:val="none" w:sz="0" w:space="0" w:color="auto"/>
            <w:bottom w:val="none" w:sz="0" w:space="0" w:color="auto"/>
            <w:right w:val="none" w:sz="0" w:space="0" w:color="auto"/>
          </w:divBdr>
          <w:divsChild>
            <w:div w:id="1136294122">
              <w:blockQuote w:val="1"/>
              <w:marLeft w:val="720"/>
              <w:marRight w:val="0"/>
              <w:marTop w:val="0"/>
              <w:marBottom w:val="100"/>
              <w:divBdr>
                <w:top w:val="none" w:sz="0" w:space="0" w:color="E5451B"/>
                <w:left w:val="single" w:sz="12" w:space="0" w:color="E5451B"/>
                <w:bottom w:val="none" w:sz="0" w:space="0" w:color="E5451B"/>
                <w:right w:val="none" w:sz="0" w:space="0" w:color="E5451B"/>
              </w:divBdr>
            </w:div>
            <w:div w:id="1341202926">
              <w:blockQuote w:val="1"/>
              <w:marLeft w:val="720"/>
              <w:marRight w:val="0"/>
              <w:marTop w:val="0"/>
              <w:marBottom w:val="100"/>
              <w:divBdr>
                <w:top w:val="none" w:sz="0" w:space="0" w:color="E5451B"/>
                <w:left w:val="single" w:sz="12" w:space="0" w:color="E5451B"/>
                <w:bottom w:val="none" w:sz="0" w:space="0" w:color="E5451B"/>
                <w:right w:val="none" w:sz="0" w:space="0" w:color="E5451B"/>
              </w:divBdr>
            </w:div>
            <w:div w:id="1077945600">
              <w:blockQuote w:val="1"/>
              <w:marLeft w:val="720"/>
              <w:marRight w:val="0"/>
              <w:marTop w:val="0"/>
              <w:marBottom w:val="100"/>
              <w:divBdr>
                <w:top w:val="none" w:sz="0" w:space="0" w:color="E5451B"/>
                <w:left w:val="single" w:sz="12" w:space="0" w:color="E5451B"/>
                <w:bottom w:val="none" w:sz="0" w:space="0" w:color="E5451B"/>
                <w:right w:val="none" w:sz="0" w:space="0" w:color="E5451B"/>
              </w:divBdr>
            </w:div>
            <w:div w:id="239601525">
              <w:blockQuote w:val="1"/>
              <w:marLeft w:val="720"/>
              <w:marRight w:val="0"/>
              <w:marTop w:val="0"/>
              <w:marBottom w:val="100"/>
              <w:divBdr>
                <w:top w:val="none" w:sz="0" w:space="0" w:color="E5451B"/>
                <w:left w:val="single" w:sz="12" w:space="0" w:color="E5451B"/>
                <w:bottom w:val="none" w:sz="0" w:space="0" w:color="E5451B"/>
                <w:right w:val="none" w:sz="0" w:space="0" w:color="E5451B"/>
              </w:divBdr>
            </w:div>
          </w:divsChild>
        </w:div>
        <w:div w:id="755901394">
          <w:marLeft w:val="0"/>
          <w:marRight w:val="0"/>
          <w:marTop w:val="0"/>
          <w:marBottom w:val="0"/>
          <w:divBdr>
            <w:top w:val="none" w:sz="0" w:space="0" w:color="auto"/>
            <w:left w:val="none" w:sz="0" w:space="0" w:color="auto"/>
            <w:bottom w:val="none" w:sz="0" w:space="0" w:color="auto"/>
            <w:right w:val="none" w:sz="0" w:space="0" w:color="auto"/>
          </w:divBdr>
          <w:divsChild>
            <w:div w:id="636616855">
              <w:marLeft w:val="0"/>
              <w:marRight w:val="0"/>
              <w:marTop w:val="0"/>
              <w:marBottom w:val="0"/>
              <w:divBdr>
                <w:top w:val="none" w:sz="0" w:space="0" w:color="auto"/>
                <w:left w:val="none" w:sz="0" w:space="0" w:color="auto"/>
                <w:bottom w:val="none" w:sz="0" w:space="0" w:color="auto"/>
                <w:right w:val="none" w:sz="0" w:space="0" w:color="auto"/>
              </w:divBdr>
              <w:divsChild>
                <w:div w:id="110588550">
                  <w:marLeft w:val="0"/>
                  <w:marRight w:val="0"/>
                  <w:marTop w:val="0"/>
                  <w:marBottom w:val="0"/>
                  <w:divBdr>
                    <w:top w:val="none" w:sz="0" w:space="0" w:color="auto"/>
                    <w:left w:val="none" w:sz="0" w:space="0" w:color="auto"/>
                    <w:bottom w:val="single" w:sz="12" w:space="0" w:color="DEE2E6"/>
                    <w:right w:val="none" w:sz="0" w:space="0" w:color="auto"/>
                  </w:divBdr>
                </w:div>
              </w:divsChild>
            </w:div>
          </w:divsChild>
        </w:div>
        <w:div w:id="635797281">
          <w:marLeft w:val="0"/>
          <w:marRight w:val="0"/>
          <w:marTop w:val="0"/>
          <w:marBottom w:val="0"/>
          <w:divBdr>
            <w:top w:val="none" w:sz="0" w:space="0" w:color="auto"/>
            <w:left w:val="none" w:sz="0" w:space="0" w:color="auto"/>
            <w:bottom w:val="none" w:sz="0" w:space="0" w:color="auto"/>
            <w:right w:val="none" w:sz="0" w:space="0" w:color="auto"/>
          </w:divBdr>
          <w:divsChild>
            <w:div w:id="1051270922">
              <w:marLeft w:val="0"/>
              <w:marRight w:val="0"/>
              <w:marTop w:val="0"/>
              <w:marBottom w:val="0"/>
              <w:divBdr>
                <w:top w:val="none" w:sz="0" w:space="0" w:color="auto"/>
                <w:left w:val="none" w:sz="0" w:space="0" w:color="auto"/>
                <w:bottom w:val="none" w:sz="0" w:space="0" w:color="auto"/>
                <w:right w:val="none" w:sz="0" w:space="0" w:color="auto"/>
              </w:divBdr>
              <w:divsChild>
                <w:div w:id="1280063263">
                  <w:marLeft w:val="0"/>
                  <w:marRight w:val="0"/>
                  <w:marTop w:val="0"/>
                  <w:marBottom w:val="0"/>
                  <w:divBdr>
                    <w:top w:val="single" w:sz="6" w:space="0" w:color="DEE2E6"/>
                    <w:left w:val="single" w:sz="6" w:space="0" w:color="DEE2E6"/>
                    <w:bottom w:val="single" w:sz="6" w:space="0" w:color="DEE2E6"/>
                    <w:right w:val="single" w:sz="6" w:space="0" w:color="DEE2E6"/>
                  </w:divBdr>
                  <w:divsChild>
                    <w:div w:id="1186670590">
                      <w:marLeft w:val="0"/>
                      <w:marRight w:val="0"/>
                      <w:marTop w:val="0"/>
                      <w:marBottom w:val="0"/>
                      <w:divBdr>
                        <w:top w:val="none" w:sz="0" w:space="0" w:color="auto"/>
                        <w:left w:val="none" w:sz="0" w:space="0" w:color="auto"/>
                        <w:bottom w:val="none" w:sz="0" w:space="0" w:color="auto"/>
                        <w:right w:val="none" w:sz="0" w:space="0" w:color="auto"/>
                      </w:divBdr>
                      <w:divsChild>
                        <w:div w:id="1215969018">
                          <w:marLeft w:val="0"/>
                          <w:marRight w:val="0"/>
                          <w:marTop w:val="0"/>
                          <w:marBottom w:val="0"/>
                          <w:divBdr>
                            <w:top w:val="none" w:sz="0" w:space="0" w:color="auto"/>
                            <w:left w:val="none" w:sz="0" w:space="0" w:color="auto"/>
                            <w:bottom w:val="none" w:sz="0" w:space="0" w:color="auto"/>
                            <w:right w:val="none" w:sz="0" w:space="0" w:color="auto"/>
                          </w:divBdr>
                        </w:div>
                        <w:div w:id="11693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3470">
              <w:marLeft w:val="0"/>
              <w:marRight w:val="0"/>
              <w:marTop w:val="0"/>
              <w:marBottom w:val="0"/>
              <w:divBdr>
                <w:top w:val="none" w:sz="0" w:space="0" w:color="auto"/>
                <w:left w:val="none" w:sz="0" w:space="0" w:color="auto"/>
                <w:bottom w:val="none" w:sz="0" w:space="0" w:color="auto"/>
                <w:right w:val="none" w:sz="0" w:space="0" w:color="auto"/>
              </w:divBdr>
              <w:divsChild>
                <w:div w:id="20325826">
                  <w:marLeft w:val="0"/>
                  <w:marRight w:val="0"/>
                  <w:marTop w:val="0"/>
                  <w:marBottom w:val="0"/>
                  <w:divBdr>
                    <w:top w:val="single" w:sz="6" w:space="0" w:color="DEE2E6"/>
                    <w:left w:val="single" w:sz="6" w:space="0" w:color="DEE2E6"/>
                    <w:bottom w:val="single" w:sz="6" w:space="0" w:color="DEE2E6"/>
                    <w:right w:val="single" w:sz="6" w:space="0" w:color="DEE2E6"/>
                  </w:divBdr>
                  <w:divsChild>
                    <w:div w:id="1334912453">
                      <w:marLeft w:val="0"/>
                      <w:marRight w:val="0"/>
                      <w:marTop w:val="0"/>
                      <w:marBottom w:val="0"/>
                      <w:divBdr>
                        <w:top w:val="none" w:sz="0" w:space="0" w:color="auto"/>
                        <w:left w:val="none" w:sz="0" w:space="0" w:color="auto"/>
                        <w:bottom w:val="none" w:sz="0" w:space="0" w:color="auto"/>
                        <w:right w:val="none" w:sz="0" w:space="0" w:color="auto"/>
                      </w:divBdr>
                      <w:divsChild>
                        <w:div w:id="1181435873">
                          <w:marLeft w:val="0"/>
                          <w:marRight w:val="0"/>
                          <w:marTop w:val="0"/>
                          <w:marBottom w:val="0"/>
                          <w:divBdr>
                            <w:top w:val="none" w:sz="0" w:space="0" w:color="auto"/>
                            <w:left w:val="none" w:sz="0" w:space="0" w:color="auto"/>
                            <w:bottom w:val="none" w:sz="0" w:space="0" w:color="auto"/>
                            <w:right w:val="none" w:sz="0" w:space="0" w:color="auto"/>
                          </w:divBdr>
                        </w:div>
                        <w:div w:id="10944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etoananpha.vn/dich-vu-tam-ngung-kinh-doanh.html" TargetMode="External"/><Relationship Id="rId4" Type="http://schemas.openxmlformats.org/officeDocument/2006/relationships/hyperlink" Target="https://ketoananpha.vn/cach-tinh-thue-gia-tri-gia-ta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2024-03-14T02:05:00Z</dcterms:created>
  <dcterms:modified xsi:type="dcterms:W3CDTF">2024-03-14T02:20:00Z</dcterms:modified>
</cp:coreProperties>
</file>