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89" w:rsidRPr="00E7599C" w:rsidRDefault="00AD2C48" w:rsidP="00E7599C">
      <w:pPr>
        <w:spacing w:after="0" w:line="360" w:lineRule="auto"/>
        <w:rPr>
          <w:rFonts w:ascii="Times New Roman" w:eastAsia="Times New Roman" w:hAnsi="Times New Roman" w:cs="Times New Roman"/>
          <w:b/>
          <w:kern w:val="0"/>
          <w:sz w:val="24"/>
          <w:szCs w:val="24"/>
          <w14:ligatures w14:val="none"/>
        </w:rPr>
      </w:pPr>
      <w:r w:rsidRPr="00E7599C">
        <w:rPr>
          <w:rFonts w:ascii="Times New Roman" w:hAnsi="Times New Roman" w:cs="Times New Roman"/>
        </w:rPr>
        <w:tab/>
      </w:r>
      <w:r w:rsidRPr="00E7599C">
        <w:rPr>
          <w:rFonts w:ascii="Times New Roman" w:eastAsia="Times New Roman" w:hAnsi="Times New Roman" w:cs="Times New Roman"/>
          <w:b/>
          <w:kern w:val="0"/>
          <w:sz w:val="24"/>
          <w:szCs w:val="24"/>
          <w14:ligatures w14:val="none"/>
        </w:rPr>
        <w:t>THỦ TỤC MIỄN GIẢM THUẾ THU NHẬP CÁ NHÂN DO THIÊN TAI</w:t>
      </w:r>
    </w:p>
    <w:p w:rsidR="00AD2C48" w:rsidRPr="00E7599C" w:rsidRDefault="00AD2C48" w:rsidP="00E7599C">
      <w:pPr>
        <w:spacing w:after="0" w:line="360" w:lineRule="auto"/>
        <w:ind w:left="4320" w:firstLine="720"/>
        <w:rPr>
          <w:rFonts w:ascii="Times New Roman" w:eastAsia="Times New Roman" w:hAnsi="Times New Roman" w:cs="Times New Roman"/>
          <w:kern w:val="0"/>
          <w:sz w:val="24"/>
          <w:szCs w:val="24"/>
          <w14:ligatures w14:val="none"/>
        </w:rPr>
      </w:pPr>
      <w:r w:rsidRPr="00E7599C">
        <w:rPr>
          <w:rFonts w:ascii="Times New Roman" w:eastAsia="Times New Roman" w:hAnsi="Times New Roman" w:cs="Times New Roman"/>
          <w:kern w:val="0"/>
          <w:sz w:val="24"/>
          <w:szCs w:val="24"/>
          <w14:ligatures w14:val="none"/>
        </w:rPr>
        <w:t>Mai Thị Quỳnh Như- Khoa Kế toán</w:t>
      </w:r>
    </w:p>
    <w:p w:rsidR="00E7599C" w:rsidRPr="00E7599C" w:rsidRDefault="00AD2C48" w:rsidP="00E7599C">
      <w:pPr>
        <w:shd w:val="clear" w:color="auto" w:fill="FFFFFF"/>
        <w:spacing w:after="0" w:line="360" w:lineRule="auto"/>
        <w:outlineLvl w:val="1"/>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kern w:val="0"/>
          <w:sz w:val="26"/>
          <w:szCs w:val="26"/>
          <w14:ligatures w14:val="none"/>
        </w:rPr>
        <w:t>Theo quy định tại Điều 5 Luật Thuế thu nhập cá nhân năm 2007, người nộp thuế gặp khó khăn do thiên tai, hỏa hoạn, tai nạn bất ngờ hoặc mắc bệnh hiểm nghèo gây ảnh hưởng đến khả năng nộp thuế sẽ được xét giảm thuế thu nhập cá nhân tương ứng với mức độ thiệt hại. Tuy nhiên, mức giảm thuế này không được vượt quá số thuế phải nộp. Việc giảm thuế giúp giảm bớt gánh nặng tài chính cho người nộp thuế trong những tình huống bất khả kháng, đảm bảo quyền lợi và sự hỗ trợ kịp thời từ Nhà nước. Để được xét giảm thuế, người nộp thuế cần có hồ sơ chứng minh rõ ràng về mức độ thiệt hại và khó khăn của mình, đồng thời thực hiện theo quy trình do cơ quan thuế quy định. Điều này thể hiện sự linh hoạt và nhân văn trong chính sách thuế, giúp người dân vượt qua khó khăn và ổn định cuộc sống.</w:t>
      </w:r>
    </w:p>
    <w:p w:rsidR="00AD2C48" w:rsidRPr="00E7599C" w:rsidRDefault="00E7599C" w:rsidP="00E7599C">
      <w:pPr>
        <w:shd w:val="clear" w:color="auto" w:fill="FFFFFF"/>
        <w:spacing w:after="0" w:line="360" w:lineRule="auto"/>
        <w:outlineLvl w:val="1"/>
        <w:rPr>
          <w:rFonts w:ascii="Times New Roman" w:eastAsia="Times New Roman" w:hAnsi="Times New Roman" w:cs="Times New Roman"/>
          <w:b/>
          <w:kern w:val="0"/>
          <w:sz w:val="26"/>
          <w:szCs w:val="26"/>
          <w14:ligatures w14:val="none"/>
        </w:rPr>
      </w:pPr>
      <w:r w:rsidRPr="00E7599C">
        <w:rPr>
          <w:rFonts w:ascii="Times New Roman" w:eastAsia="Times New Roman" w:hAnsi="Times New Roman" w:cs="Times New Roman"/>
          <w:b/>
          <w:kern w:val="0"/>
          <w:sz w:val="26"/>
          <w:szCs w:val="26"/>
          <w14:ligatures w14:val="none"/>
        </w:rPr>
        <w:t>1.</w:t>
      </w:r>
      <w:r w:rsidR="00AD2C48" w:rsidRPr="00E7599C">
        <w:rPr>
          <w:rFonts w:ascii="Times New Roman" w:eastAsia="Times New Roman" w:hAnsi="Times New Roman" w:cs="Times New Roman"/>
          <w:b/>
          <w:kern w:val="0"/>
          <w:sz w:val="26"/>
          <w:szCs w:val="26"/>
          <w14:ligatures w14:val="none"/>
        </w:rPr>
        <w:t xml:space="preserve">Hướng dẫn xác định số thuế TNCN được giảm </w:t>
      </w:r>
    </w:p>
    <w:p w:rsidR="00E7599C" w:rsidRPr="00E7599C" w:rsidRDefault="00E7599C" w:rsidP="00E7599C">
      <w:pPr>
        <w:pStyle w:val="NormalWeb"/>
        <w:spacing w:before="0" w:beforeAutospacing="0" w:after="0" w:afterAutospacing="0" w:line="360" w:lineRule="auto"/>
        <w:rPr>
          <w:sz w:val="26"/>
          <w:szCs w:val="26"/>
        </w:rPr>
      </w:pPr>
      <w:r w:rsidRPr="00E7599C">
        <w:rPr>
          <w:sz w:val="26"/>
          <w:szCs w:val="26"/>
        </w:rPr>
        <w:t>Theo quy định tại Điều 4 Thông tư 111/2013/TT-BTC, việc xác định số thuế thu nhập cá nhân (TNCN) được giảm do ảnh hưởng của thiên tai, hỏa hoạn, tai nạn bất ngờ hoặc mắc bệnh hiểm nghèo được thực hiện theo năm tính thuế. Người nộp thuế gặp khó khăn trong năm nào thì sẽ được xét giảm số thuế phải nộp của năm tính thuế đó. Số thuế phải nộp làm căn cứ xét giảm bao gồm tổng số thuế TNCN phải nộp trong năm, bao gồm thuế đã nộp hoặc đã khấu trừ đối với các khoản thu nhập như: đầu tư vốn, chuyển nhượng vốn, chuyển nhượng bất động sản, trúng thưởng, bản quyền, nhượng quyền thương mại, thừa kế, quà tặng, cũng như thuế phải nộp từ kinh doanh, tiền lương và tiền công. Mức độ thiệt hại để giảm thuế được xác định dựa trên tổng chi phí thực tế để khắc phục thiệt hại sau khi đã trừ các khoản bồi thường nhận được từ tổ chức bảo hiểm hoặc cá nhân, tổ chức gây ra thiệt hại (nếu có). Số thuế được giảm sẽ bằng mức độ thiệt hại nếu số thuế phải nộp lớn hơn thiệt hại; nếu số thuế phải nộp nhỏ hơn thiệt hại, thì số thuế giảm sẽ bằng số thuế phải nộp.</w:t>
      </w:r>
    </w:p>
    <w:p w:rsidR="00E7599C" w:rsidRPr="00E7599C" w:rsidRDefault="00E7599C" w:rsidP="00E7599C">
      <w:pPr>
        <w:pStyle w:val="NormalWeb"/>
        <w:spacing w:before="0" w:beforeAutospacing="0" w:after="0" w:afterAutospacing="0" w:line="360" w:lineRule="auto"/>
        <w:rPr>
          <w:sz w:val="26"/>
          <w:szCs w:val="26"/>
        </w:rPr>
      </w:pPr>
      <w:r w:rsidRPr="00E7599C">
        <w:rPr>
          <w:sz w:val="26"/>
          <w:szCs w:val="26"/>
        </w:rPr>
        <w:t xml:space="preserve">Để được xét giảm thuế, người nộp thuế cần chuẩn bị hồ sơ gồm các chứng từ chứng minh thiệt hại do thiên tai, tai nạn hoặc bệnh hiểm nghèo, cùng với các giấy tờ liên quan đến bồi thường (nếu có). Hồ sơ này sẽ được nộp lên cơ quan thuế để xem xét và xác minh. Cơ </w:t>
      </w:r>
      <w:r w:rsidRPr="00E7599C">
        <w:rPr>
          <w:sz w:val="26"/>
          <w:szCs w:val="26"/>
        </w:rPr>
        <w:lastRenderedPageBreak/>
        <w:t>quan thuế có trách nhiệm tiếp nhận và xử lý hồ sơ trong thời hạn quy định, đảm bảo quá trình giảm thuế được thực hiện nhanh chóng và đúng pháp luật.</w:t>
      </w:r>
    </w:p>
    <w:p w:rsidR="00AD2C48" w:rsidRPr="00AD2C48" w:rsidRDefault="00E7599C" w:rsidP="00E7599C">
      <w:pPr>
        <w:shd w:val="clear" w:color="auto" w:fill="FFFFFF"/>
        <w:spacing w:after="0" w:line="360" w:lineRule="auto"/>
        <w:outlineLvl w:val="1"/>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b/>
          <w:bCs/>
          <w:color w:val="333333"/>
          <w:kern w:val="0"/>
          <w:sz w:val="26"/>
          <w:szCs w:val="26"/>
          <w14:ligatures w14:val="none"/>
        </w:rPr>
        <w:t>2</w:t>
      </w:r>
      <w:r w:rsidR="00AD2C48" w:rsidRPr="00E7599C">
        <w:rPr>
          <w:rFonts w:ascii="Times New Roman" w:eastAsia="Times New Roman" w:hAnsi="Times New Roman" w:cs="Times New Roman"/>
          <w:b/>
          <w:bCs/>
          <w:color w:val="333333"/>
          <w:kern w:val="0"/>
          <w:sz w:val="26"/>
          <w:szCs w:val="26"/>
          <w14:ligatures w14:val="none"/>
        </w:rPr>
        <w:t xml:space="preserve">. Hồ sơ giảm thuế TNCN </w:t>
      </w:r>
    </w:p>
    <w:p w:rsidR="00E7599C" w:rsidRP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kern w:val="0"/>
          <w:sz w:val="26"/>
          <w:szCs w:val="26"/>
          <w14:ligatures w14:val="none"/>
        </w:rPr>
        <w:t>Hồ sơ giảm thuế thu nhập cá nhân (TNCN) đối với người nộp thuế gặp khó khăn do bão Yagi, theo quy định tại Khoản 1 Điều 54 Thông tư 80/2021/TT-BTC, bao gồm các tài liệu sau:</w:t>
      </w:r>
    </w:p>
    <w:p w:rsidR="00E7599C" w:rsidRP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b/>
          <w:bCs/>
          <w:kern w:val="0"/>
          <w:sz w:val="26"/>
          <w:szCs w:val="26"/>
          <w14:ligatures w14:val="none"/>
        </w:rPr>
        <w:t>- Văn bản đề nghị giảm thuế</w:t>
      </w:r>
      <w:r w:rsidRPr="00E7599C">
        <w:rPr>
          <w:rFonts w:ascii="Times New Roman" w:eastAsia="Times New Roman" w:hAnsi="Times New Roman" w:cs="Times New Roman"/>
          <w:kern w:val="0"/>
          <w:sz w:val="26"/>
          <w:szCs w:val="26"/>
          <w14:ligatures w14:val="none"/>
        </w:rPr>
        <w:t>: Sử dụng Mẫu số 01/MGTH ban hành kèm theo Phụ lục I Thông tư 80/2021/TT-BTC.</w:t>
      </w:r>
    </w:p>
    <w:p w:rsidR="00E7599C" w:rsidRP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b/>
          <w:bCs/>
          <w:kern w:val="0"/>
          <w:sz w:val="26"/>
          <w:szCs w:val="26"/>
          <w14:ligatures w14:val="none"/>
        </w:rPr>
        <w:t>-Biên bản xác định mức độ thiệt hại</w:t>
      </w:r>
      <w:r w:rsidRPr="00E7599C">
        <w:rPr>
          <w:rFonts w:ascii="Times New Roman" w:eastAsia="Times New Roman" w:hAnsi="Times New Roman" w:cs="Times New Roman"/>
          <w:kern w:val="0"/>
          <w:sz w:val="26"/>
          <w:szCs w:val="26"/>
          <w14:ligatures w14:val="none"/>
        </w:rPr>
        <w:t>: Cần có biên bản xác định mức độ và giá trị thiệt hại về tài sản của cơ quan có thẩm quyền, có xác nhận của chính quyền địa phương cấp xã nơi xảy ra thiên tai hoặc hỏa hoạn, sử dụng Mẫu số 02/MGTH ban hành kèm theo Phụ lục I Thông tư 80/2021/TT-BTC. Cơ quan có thẩm quyền để xác định mức độ thiệt hại có thể là cơ quan tài chính hoặc cơ quan giám định tài sản.</w:t>
      </w:r>
    </w:p>
    <w:p w:rsidR="00E7599C" w:rsidRP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b/>
          <w:bCs/>
          <w:kern w:val="0"/>
          <w:sz w:val="26"/>
          <w:szCs w:val="26"/>
          <w14:ligatures w14:val="none"/>
        </w:rPr>
        <w:t>- Biên bản giám định thiệt hại về hàng hóa</w:t>
      </w:r>
      <w:r w:rsidRPr="00E7599C">
        <w:rPr>
          <w:rFonts w:ascii="Times New Roman" w:eastAsia="Times New Roman" w:hAnsi="Times New Roman" w:cs="Times New Roman"/>
          <w:kern w:val="0"/>
          <w:sz w:val="26"/>
          <w:szCs w:val="26"/>
          <w14:ligatures w14:val="none"/>
        </w:rPr>
        <w:t>: Nếu thiệt hại liên quan đến hàng hóa, người nộp thuế phải cung cấp Biên bản giám định hoặc chứng thư giám định của cơ quan giám định. Cơ quan giám định phải chịu trách nhiệm pháp lý về tính chính xác của chứng thư theo quy định pháp luật.</w:t>
      </w:r>
    </w:p>
    <w:p w:rsidR="00E7599C" w:rsidRP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b/>
          <w:bCs/>
          <w:kern w:val="0"/>
          <w:sz w:val="26"/>
          <w:szCs w:val="26"/>
          <w14:ligatures w14:val="none"/>
        </w:rPr>
        <w:t>-Xác định thiệt hại về đất đai, hoa màu</w:t>
      </w:r>
      <w:r w:rsidRPr="00E7599C">
        <w:rPr>
          <w:rFonts w:ascii="Times New Roman" w:eastAsia="Times New Roman" w:hAnsi="Times New Roman" w:cs="Times New Roman"/>
          <w:kern w:val="0"/>
          <w:sz w:val="26"/>
          <w:szCs w:val="26"/>
          <w14:ligatures w14:val="none"/>
        </w:rPr>
        <w:t>: Trong trường hợp thiệt hại về đất đai hoặc hoa màu, cơ quan tài chính sẽ chịu trách nhiệm xác định mức độ thiệt hại.</w:t>
      </w:r>
    </w:p>
    <w:p w:rsidR="00E7599C" w:rsidRP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b/>
          <w:bCs/>
          <w:kern w:val="0"/>
          <w:sz w:val="26"/>
          <w:szCs w:val="26"/>
          <w14:ligatures w14:val="none"/>
        </w:rPr>
        <w:t>-Giấy tờ xác định việc bồi thường</w:t>
      </w:r>
      <w:r w:rsidRPr="00E7599C">
        <w:rPr>
          <w:rFonts w:ascii="Times New Roman" w:eastAsia="Times New Roman" w:hAnsi="Times New Roman" w:cs="Times New Roman"/>
          <w:kern w:val="0"/>
          <w:sz w:val="26"/>
          <w:szCs w:val="26"/>
          <w14:ligatures w14:val="none"/>
        </w:rPr>
        <w:t>: Nếu có, cần cung cấp giấy tờ liên quan đến việc bồi thường của cơ quan bảo hiểm hoặc thỏa thuận bồi thường của người gây hỏa hoạn.</w:t>
      </w:r>
    </w:p>
    <w:p w:rsidR="00E7599C" w:rsidRP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b/>
          <w:bCs/>
          <w:kern w:val="0"/>
          <w:sz w:val="26"/>
          <w:szCs w:val="26"/>
          <w14:ligatures w14:val="none"/>
        </w:rPr>
        <w:t>-Chứng từ chi phí khắc phục thiệt hại</w:t>
      </w:r>
      <w:r w:rsidRPr="00E7599C">
        <w:rPr>
          <w:rFonts w:ascii="Times New Roman" w:eastAsia="Times New Roman" w:hAnsi="Times New Roman" w:cs="Times New Roman"/>
          <w:kern w:val="0"/>
          <w:sz w:val="26"/>
          <w:szCs w:val="26"/>
          <w14:ligatures w14:val="none"/>
        </w:rPr>
        <w:t>: Các chứng từ liên quan trực tiếp đến chi phí khắc phục thiệt hại do thiên tai, hỏa hoạn cũng cần được đính kèm.</w:t>
      </w:r>
    </w:p>
    <w:p w:rsidR="00E7599C" w:rsidRP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b/>
          <w:bCs/>
          <w:kern w:val="0"/>
          <w:sz w:val="26"/>
          <w:szCs w:val="26"/>
          <w14:ligatures w14:val="none"/>
        </w:rPr>
        <w:t>- Tờ khai quyết toán thuế TNCN</w:t>
      </w:r>
      <w:r w:rsidRPr="00E7599C">
        <w:rPr>
          <w:rFonts w:ascii="Times New Roman" w:eastAsia="Times New Roman" w:hAnsi="Times New Roman" w:cs="Times New Roman"/>
          <w:kern w:val="0"/>
          <w:sz w:val="26"/>
          <w:szCs w:val="26"/>
          <w14:ligatures w14:val="none"/>
        </w:rPr>
        <w:t>: Nếu người nộp thuế đề nghị giảm thuế TNCN đối với thu nhập từ tiền lương, tiền công, cần nộp Tờ khai quyết toán thuế TNCN theo Mẫu số 02/QTT-TNCN, ban hành kèm theo Phụ lục II Thông tư 80/2021/TT-BTC.</w:t>
      </w:r>
    </w:p>
    <w:p w:rsidR="00E7599C" w:rsidRDefault="00E7599C" w:rsidP="00E7599C">
      <w:p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kern w:val="0"/>
          <w:sz w:val="26"/>
          <w:szCs w:val="26"/>
          <w14:ligatures w14:val="none"/>
        </w:rPr>
        <w:t>Bộ hồ sơ này là căn cứ để cơ quan thuế xem xét và xác minh các yêu cầu giảm thuế, hỗ trợ người nộp thuế trong các tình huống khó khăn do thiên tai hoặc các rủi ro không mong muốn.</w:t>
      </w:r>
    </w:p>
    <w:p w:rsidR="00F031AF" w:rsidRPr="00F031AF" w:rsidRDefault="00F031AF" w:rsidP="00E7599C">
      <w:pPr>
        <w:spacing w:after="0" w:line="360" w:lineRule="auto"/>
        <w:rPr>
          <w:rFonts w:ascii="Times New Roman" w:eastAsia="Times New Roman" w:hAnsi="Times New Roman" w:cs="Times New Roman"/>
          <w:b/>
          <w:kern w:val="0"/>
          <w:sz w:val="26"/>
          <w:szCs w:val="26"/>
          <w14:ligatures w14:val="none"/>
        </w:rPr>
      </w:pPr>
      <w:r w:rsidRPr="00F031AF">
        <w:rPr>
          <w:rFonts w:ascii="Times New Roman" w:eastAsia="Times New Roman" w:hAnsi="Times New Roman" w:cs="Times New Roman"/>
          <w:b/>
          <w:kern w:val="0"/>
          <w:sz w:val="26"/>
          <w:szCs w:val="26"/>
          <w14:ligatures w14:val="none"/>
        </w:rPr>
        <w:lastRenderedPageBreak/>
        <w:t>Tài liệu tham khảo:</w:t>
      </w:r>
    </w:p>
    <w:p w:rsidR="00F031AF" w:rsidRPr="00F031AF" w:rsidRDefault="00F031AF" w:rsidP="00F031AF">
      <w:pPr>
        <w:pStyle w:val="ListParagraph"/>
        <w:numPr>
          <w:ilvl w:val="0"/>
          <w:numId w:val="3"/>
        </w:numPr>
        <w:spacing w:after="0" w:line="360" w:lineRule="auto"/>
        <w:rPr>
          <w:rFonts w:ascii="Times New Roman" w:eastAsia="Times New Roman" w:hAnsi="Times New Roman" w:cs="Times New Roman"/>
          <w:kern w:val="0"/>
          <w:sz w:val="26"/>
          <w:szCs w:val="26"/>
          <w14:ligatures w14:val="none"/>
        </w:rPr>
      </w:pPr>
      <w:bookmarkStart w:id="0" w:name="loai_1_name"/>
      <w:r w:rsidRPr="00E7599C">
        <w:rPr>
          <w:rFonts w:ascii="Times New Roman" w:eastAsia="Times New Roman" w:hAnsi="Times New Roman" w:cs="Times New Roman"/>
          <w:kern w:val="0"/>
          <w:sz w:val="26"/>
          <w:szCs w:val="26"/>
          <w14:ligatures w14:val="none"/>
        </w:rPr>
        <w:t>Thông tư 80/2021/TT-BTC</w:t>
      </w:r>
      <w:r>
        <w:rPr>
          <w:rFonts w:ascii="Times New Roman" w:eastAsia="Times New Roman" w:hAnsi="Times New Roman" w:cs="Times New Roman"/>
          <w:kern w:val="0"/>
          <w:sz w:val="26"/>
          <w:szCs w:val="26"/>
          <w14:ligatures w14:val="none"/>
        </w:rPr>
        <w:t xml:space="preserve"> </w:t>
      </w:r>
      <w:r w:rsidRPr="00F031AF">
        <w:rPr>
          <w:rFonts w:ascii="Times New Roman" w:eastAsia="Times New Roman" w:hAnsi="Times New Roman" w:cs="Times New Roman"/>
          <w:kern w:val="0"/>
          <w:sz w:val="26"/>
          <w:szCs w:val="26"/>
          <w14:ligatures w14:val="none"/>
        </w:rPr>
        <w:t>Hướng dẫn thi hành một số điều của luật quản lý thuế và nghị định số </w:t>
      </w:r>
      <w:bookmarkEnd w:id="0"/>
      <w:r w:rsidRPr="00F031AF">
        <w:rPr>
          <w:rFonts w:ascii="Times New Roman" w:eastAsia="Times New Roman" w:hAnsi="Times New Roman" w:cs="Times New Roman"/>
          <w:kern w:val="0"/>
          <w:sz w:val="26"/>
          <w:szCs w:val="26"/>
          <w14:ligatures w14:val="none"/>
        </w:rPr>
        <w:fldChar w:fldCharType="begin"/>
      </w:r>
      <w:r w:rsidRPr="00F031AF">
        <w:rPr>
          <w:rFonts w:ascii="Times New Roman" w:eastAsia="Times New Roman" w:hAnsi="Times New Roman" w:cs="Times New Roman"/>
          <w:kern w:val="0"/>
          <w:sz w:val="26"/>
          <w:szCs w:val="26"/>
          <w14:ligatures w14:val="none"/>
        </w:rPr>
        <w:instrText xml:space="preserve"> HYPERLINK "https://thuvienphapluat.vn/van-ban/thue-phi-le-phi/nghi-dinh-126-2020-nd-cp-huong-dan-luat-quan-ly-thue-455733.aspx" \o "Nghị định 126/2020/NĐ-CP" \t "_blank" </w:instrText>
      </w:r>
      <w:r w:rsidRPr="00F031AF">
        <w:rPr>
          <w:rFonts w:ascii="Times New Roman" w:eastAsia="Times New Roman" w:hAnsi="Times New Roman" w:cs="Times New Roman"/>
          <w:kern w:val="0"/>
          <w:sz w:val="26"/>
          <w:szCs w:val="26"/>
          <w14:ligatures w14:val="none"/>
        </w:rPr>
        <w:fldChar w:fldCharType="separate"/>
      </w:r>
      <w:r>
        <w:rPr>
          <w:rFonts w:ascii="Times New Roman" w:eastAsia="Times New Roman" w:hAnsi="Times New Roman" w:cs="Times New Roman"/>
          <w:kern w:val="0"/>
          <w:sz w:val="26"/>
          <w:szCs w:val="26"/>
          <w14:ligatures w14:val="none"/>
        </w:rPr>
        <w:t>126/2020/NĐ</w:t>
      </w:r>
      <w:r w:rsidRPr="00F031AF">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CP</w:t>
      </w:r>
      <w:r w:rsidRPr="00F031AF">
        <w:rPr>
          <w:rFonts w:ascii="Times New Roman" w:eastAsia="Times New Roman" w:hAnsi="Times New Roman" w:cs="Times New Roman"/>
          <w:kern w:val="0"/>
          <w:sz w:val="26"/>
          <w:szCs w:val="26"/>
          <w14:ligatures w14:val="none"/>
        </w:rPr>
        <w:fldChar w:fldCharType="end"/>
      </w:r>
      <w:r>
        <w:rPr>
          <w:rFonts w:ascii="Times New Roman" w:eastAsia="Times New Roman" w:hAnsi="Times New Roman" w:cs="Times New Roman"/>
          <w:kern w:val="0"/>
          <w:sz w:val="26"/>
          <w:szCs w:val="26"/>
          <w14:ligatures w14:val="none"/>
        </w:rPr>
        <w:t> ngày 19 tháng 10 năm 2020 của Chính P</w:t>
      </w:r>
      <w:r w:rsidRPr="00F031AF">
        <w:rPr>
          <w:rFonts w:ascii="Times New Roman" w:eastAsia="Times New Roman" w:hAnsi="Times New Roman" w:cs="Times New Roman"/>
          <w:kern w:val="0"/>
          <w:sz w:val="26"/>
          <w:szCs w:val="26"/>
          <w14:ligatures w14:val="none"/>
        </w:rPr>
        <w:t>hủ quy định chi tiết một số điều của luật quản lý thuế.</w:t>
      </w:r>
    </w:p>
    <w:p w:rsidR="00F031AF" w:rsidRPr="00F031AF" w:rsidRDefault="00F031AF" w:rsidP="00F031AF">
      <w:pPr>
        <w:pStyle w:val="ListParagraph"/>
        <w:numPr>
          <w:ilvl w:val="0"/>
          <w:numId w:val="3"/>
        </w:numPr>
        <w:spacing w:after="0" w:line="360" w:lineRule="auto"/>
        <w:rPr>
          <w:rFonts w:ascii="Times New Roman" w:eastAsia="Times New Roman" w:hAnsi="Times New Roman" w:cs="Times New Roman"/>
          <w:kern w:val="0"/>
          <w:sz w:val="26"/>
          <w:szCs w:val="26"/>
          <w14:ligatures w14:val="none"/>
        </w:rPr>
      </w:pPr>
      <w:r w:rsidRPr="00E7599C">
        <w:rPr>
          <w:rFonts w:ascii="Times New Roman" w:eastAsia="Times New Roman" w:hAnsi="Times New Roman" w:cs="Times New Roman"/>
          <w:kern w:val="0"/>
          <w:sz w:val="26"/>
          <w:szCs w:val="26"/>
          <w14:ligatures w14:val="none"/>
        </w:rPr>
        <w:t>Luật Thuế thu nhập cá nhân năm 2007</w:t>
      </w:r>
      <w:r>
        <w:rPr>
          <w:rFonts w:ascii="Times New Roman" w:eastAsia="Times New Roman" w:hAnsi="Times New Roman" w:cs="Times New Roman"/>
          <w:kern w:val="0"/>
          <w:sz w:val="26"/>
          <w:szCs w:val="26"/>
          <w14:ligatures w14:val="none"/>
        </w:rPr>
        <w:t xml:space="preserve"> ban hành ngày 21 tháng 11 năm 2007.</w:t>
      </w:r>
    </w:p>
    <w:p w:rsidR="00AD2C48" w:rsidRPr="00E7599C" w:rsidRDefault="00AD2C48" w:rsidP="00E7599C">
      <w:pPr>
        <w:spacing w:after="0" w:line="360" w:lineRule="auto"/>
        <w:rPr>
          <w:rFonts w:ascii="Times New Roman" w:hAnsi="Times New Roman" w:cs="Times New Roman"/>
          <w:sz w:val="26"/>
          <w:szCs w:val="26"/>
        </w:rPr>
      </w:pPr>
      <w:bookmarkStart w:id="1" w:name="_GoBack"/>
      <w:bookmarkEnd w:id="1"/>
    </w:p>
    <w:sectPr w:rsidR="00AD2C48" w:rsidRPr="00E75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610EF"/>
    <w:multiLevelType w:val="hybridMultilevel"/>
    <w:tmpl w:val="8B4A0C72"/>
    <w:lvl w:ilvl="0" w:tplc="3D6831E6">
      <w:start w:val="1"/>
      <w:numFmt w:val="decimal"/>
      <w:lvlText w:val="%1."/>
      <w:lvlJc w:val="left"/>
      <w:pPr>
        <w:ind w:left="720" w:hanging="360"/>
      </w:pPr>
      <w:rPr>
        <w:rFonts w:ascii="Arial" w:eastAsiaTheme="minorHAnsi"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4393C"/>
    <w:multiLevelType w:val="multilevel"/>
    <w:tmpl w:val="C94E4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1F0AA5"/>
    <w:multiLevelType w:val="hybridMultilevel"/>
    <w:tmpl w:val="548C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48"/>
    <w:rsid w:val="00037D2B"/>
    <w:rsid w:val="00057881"/>
    <w:rsid w:val="000730EA"/>
    <w:rsid w:val="00153663"/>
    <w:rsid w:val="002548E5"/>
    <w:rsid w:val="0050689B"/>
    <w:rsid w:val="005A3A13"/>
    <w:rsid w:val="005B59E9"/>
    <w:rsid w:val="006C5206"/>
    <w:rsid w:val="00A306E3"/>
    <w:rsid w:val="00A46822"/>
    <w:rsid w:val="00AD2C48"/>
    <w:rsid w:val="00C84A89"/>
    <w:rsid w:val="00D403DC"/>
    <w:rsid w:val="00D45114"/>
    <w:rsid w:val="00D75D45"/>
    <w:rsid w:val="00E7599C"/>
    <w:rsid w:val="00F0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71B7D"/>
  <w15:chartTrackingRefBased/>
  <w15:docId w15:val="{B787BF25-6024-4F2A-A2DE-A0F4CDF6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D2C4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C48"/>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AD2C48"/>
    <w:rPr>
      <w:b/>
      <w:bCs/>
    </w:rPr>
  </w:style>
  <w:style w:type="paragraph" w:styleId="NormalWeb">
    <w:name w:val="Normal (Web)"/>
    <w:basedOn w:val="Normal"/>
    <w:uiPriority w:val="99"/>
    <w:semiHidden/>
    <w:unhideWhenUsed/>
    <w:rsid w:val="00AD2C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D2C48"/>
    <w:rPr>
      <w:color w:val="0000FF"/>
      <w:u w:val="single"/>
    </w:rPr>
  </w:style>
  <w:style w:type="paragraph" w:styleId="ListParagraph">
    <w:name w:val="List Paragraph"/>
    <w:basedOn w:val="Normal"/>
    <w:uiPriority w:val="34"/>
    <w:qFormat/>
    <w:rsid w:val="00E75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802975">
      <w:bodyDiv w:val="1"/>
      <w:marLeft w:val="0"/>
      <w:marRight w:val="0"/>
      <w:marTop w:val="0"/>
      <w:marBottom w:val="0"/>
      <w:divBdr>
        <w:top w:val="none" w:sz="0" w:space="0" w:color="auto"/>
        <w:left w:val="none" w:sz="0" w:space="0" w:color="auto"/>
        <w:bottom w:val="none" w:sz="0" w:space="0" w:color="auto"/>
        <w:right w:val="none" w:sz="0" w:space="0" w:color="auto"/>
      </w:divBdr>
    </w:div>
    <w:div w:id="1181748384">
      <w:bodyDiv w:val="1"/>
      <w:marLeft w:val="0"/>
      <w:marRight w:val="0"/>
      <w:marTop w:val="0"/>
      <w:marBottom w:val="0"/>
      <w:divBdr>
        <w:top w:val="none" w:sz="0" w:space="0" w:color="auto"/>
        <w:left w:val="none" w:sz="0" w:space="0" w:color="auto"/>
        <w:bottom w:val="none" w:sz="0" w:space="0" w:color="auto"/>
        <w:right w:val="none" w:sz="0" w:space="0" w:color="auto"/>
      </w:divBdr>
    </w:div>
    <w:div w:id="20689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1021</Words>
  <Characters>3686</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2024-09-13T08:03:00Z</dcterms:created>
  <dcterms:modified xsi:type="dcterms:W3CDTF">2024-09-13T08:30:00Z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b29d8954-0b05-46c3-865b-6719479fd115</vt:lpwstr>
  </property>
</Properties>
</file>