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26EA" w14:textId="20CB3893" w:rsidR="00775897" w:rsidRPr="003C187E" w:rsidRDefault="001A5F60" w:rsidP="00AF25E9">
      <w:pPr>
        <w:spacing w:before="30" w:line="288" w:lineRule="auto"/>
        <w:jc w:val="center"/>
        <w:rPr>
          <w:b/>
          <w:bCs/>
          <w:sz w:val="24"/>
          <w:szCs w:val="24"/>
        </w:rPr>
      </w:pPr>
      <w:r>
        <w:rPr>
          <w:b/>
          <w:bCs/>
          <w:sz w:val="24"/>
          <w:szCs w:val="24"/>
        </w:rPr>
        <w:t>TÌM HIỂU VỀ KẾ TOÁN TINH GỌN  - VẤN ĐỀ ĐẶT RA CHO CÁC DOANH NGHIỆP SẢN XUẤT HIỆN NAY</w:t>
      </w:r>
    </w:p>
    <w:p w14:paraId="74484B7E" w14:textId="77777777" w:rsidR="00AF25E9" w:rsidRDefault="003C187E" w:rsidP="00AF25E9">
      <w:pPr>
        <w:tabs>
          <w:tab w:val="left" w:pos="2360"/>
        </w:tabs>
        <w:spacing w:before="30" w:line="288" w:lineRule="auto"/>
        <w:jc w:val="cente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3F33F4F1" w14:textId="4D6D46F7" w:rsidR="000431DF" w:rsidRPr="003C187E" w:rsidRDefault="003C187E" w:rsidP="00AF25E9">
      <w:pPr>
        <w:tabs>
          <w:tab w:val="left" w:pos="2360"/>
        </w:tabs>
        <w:spacing w:before="30" w:line="288" w:lineRule="auto"/>
        <w:jc w:val="center"/>
        <w:rPr>
          <w:b/>
          <w:bCs/>
          <w:sz w:val="24"/>
          <w:szCs w:val="24"/>
          <w:vertAlign w:val="subscript"/>
        </w:rPr>
      </w:pPr>
      <w:r>
        <w:rPr>
          <w:b/>
          <w:bCs/>
          <w:sz w:val="24"/>
          <w:szCs w:val="24"/>
        </w:rPr>
        <w:tab/>
      </w:r>
      <w:r w:rsidR="000431DF" w:rsidRPr="003C187E">
        <w:rPr>
          <w:b/>
          <w:bCs/>
          <w:sz w:val="24"/>
          <w:szCs w:val="24"/>
        </w:rPr>
        <w:t>Dương Thị Thanh Hiền</w:t>
      </w:r>
      <w:r w:rsidR="000431DF" w:rsidRPr="003C187E">
        <w:rPr>
          <w:b/>
          <w:bCs/>
          <w:sz w:val="24"/>
          <w:szCs w:val="24"/>
          <w:vertAlign w:val="subscript"/>
        </w:rPr>
        <w:softHyphen/>
      </w:r>
      <w:r w:rsidR="000431DF" w:rsidRPr="003C187E">
        <w:rPr>
          <w:b/>
          <w:bCs/>
          <w:sz w:val="24"/>
          <w:szCs w:val="24"/>
          <w:vertAlign w:val="subscript"/>
        </w:rPr>
        <w:softHyphen/>
      </w:r>
    </w:p>
    <w:p w14:paraId="105A7D95" w14:textId="77777777" w:rsidR="00AD54B2" w:rsidRPr="003C187E" w:rsidRDefault="00AD54B2" w:rsidP="00AF25E9">
      <w:pPr>
        <w:spacing w:before="30" w:line="288" w:lineRule="auto"/>
        <w:rPr>
          <w:b/>
          <w:bCs/>
          <w:sz w:val="14"/>
          <w:szCs w:val="14"/>
        </w:rPr>
      </w:pPr>
    </w:p>
    <w:p w14:paraId="2B3CFA69" w14:textId="2F0DEBDB" w:rsidR="008F0422" w:rsidRPr="003C187E" w:rsidRDefault="00E56171" w:rsidP="00AF25E9">
      <w:pPr>
        <w:spacing w:before="30" w:line="288" w:lineRule="auto"/>
        <w:jc w:val="both"/>
        <w:rPr>
          <w:sz w:val="24"/>
          <w:szCs w:val="24"/>
          <w:lang w:val="en-US"/>
        </w:rPr>
      </w:pPr>
      <w:bookmarkStart w:id="0" w:name="_Hlk174104407"/>
      <w:r w:rsidRPr="003C187E">
        <w:rPr>
          <w:b/>
          <w:sz w:val="24"/>
          <w:szCs w:val="24"/>
          <w:lang w:val="en-US"/>
        </w:rPr>
        <w:t>1.</w:t>
      </w:r>
      <w:r w:rsidR="008F0422" w:rsidRPr="003C187E">
        <w:rPr>
          <w:b/>
          <w:sz w:val="24"/>
          <w:szCs w:val="24"/>
          <w:lang w:val="en-US"/>
        </w:rPr>
        <w:t xml:space="preserve"> </w:t>
      </w:r>
      <w:r w:rsidR="00C23FFC">
        <w:rPr>
          <w:b/>
          <w:sz w:val="24"/>
          <w:szCs w:val="24"/>
          <w:lang w:val="en-US"/>
        </w:rPr>
        <w:t>Đặt vấn đề</w:t>
      </w:r>
    </w:p>
    <w:p w14:paraId="179354C4" w14:textId="46889421" w:rsidR="0035580D" w:rsidRDefault="001A5F60" w:rsidP="001A5F60">
      <w:pPr>
        <w:spacing w:before="30" w:line="288" w:lineRule="auto"/>
        <w:ind w:firstLine="720"/>
        <w:jc w:val="both"/>
        <w:rPr>
          <w:sz w:val="24"/>
          <w:szCs w:val="24"/>
          <w:lang w:val="en-US"/>
        </w:rPr>
      </w:pPr>
      <w:r>
        <w:rPr>
          <w:sz w:val="24"/>
          <w:szCs w:val="24"/>
          <w:lang w:val="en-US"/>
        </w:rPr>
        <w:t>Hiện nay, s</w:t>
      </w:r>
      <w:r w:rsidRPr="001A5F60">
        <w:rPr>
          <w:sz w:val="24"/>
          <w:szCs w:val="24"/>
          <w:lang w:val="en-US"/>
        </w:rPr>
        <w:t>ản xuất tinh gọn đòi hỏi một chiến lược triển khai thống nhất và nền tảng của chiến lược này là kế toán tinh gọn. Phương pháp kế toán tinh gọn phù hợp với tư duy tinh gọn, cung cấp thông tin đáng tin cậy cho việc ra quyết định và kiểm soát, nhờ đó lợi nhuận của công ty sẽ tăng lên thông qua việc đưa ra quyết định dựa trên thông tin về chi phí sản xuất</w:t>
      </w:r>
      <w:r>
        <w:rPr>
          <w:sz w:val="24"/>
          <w:szCs w:val="24"/>
          <w:lang w:val="en-US"/>
        </w:rPr>
        <w:t xml:space="preserve"> (</w:t>
      </w:r>
      <w:r w:rsidRPr="001A5F60">
        <w:rPr>
          <w:sz w:val="24"/>
          <w:szCs w:val="24"/>
          <w:lang w:val="en-US"/>
        </w:rPr>
        <w:t>Darabi</w:t>
      </w:r>
      <w:r>
        <w:rPr>
          <w:sz w:val="24"/>
          <w:szCs w:val="24"/>
          <w:lang w:val="en-US"/>
        </w:rPr>
        <w:t xml:space="preserve"> và cộng sự, 2023). </w:t>
      </w:r>
      <w:r w:rsidRPr="001A5F60">
        <w:rPr>
          <w:sz w:val="24"/>
          <w:szCs w:val="24"/>
          <w:lang w:val="en-US"/>
        </w:rPr>
        <w:t>Tư duy tinh gọn là nền tảng cho việc triển khai các phương pháp hiện đại trong sản xuất, dịch vụ và công nghiệp, và quá trình chuyển đổi sang trạng thái tinh gọn đòi hỏi những thay đổi trong hệ thống đo lường, giám sát và kế toán.</w:t>
      </w:r>
    </w:p>
    <w:p w14:paraId="26DB2D94" w14:textId="3C510F52" w:rsidR="001A5F60" w:rsidRPr="003C187E" w:rsidRDefault="004F42B8" w:rsidP="001A5F60">
      <w:pPr>
        <w:spacing w:before="30" w:line="288" w:lineRule="auto"/>
        <w:ind w:firstLine="720"/>
        <w:jc w:val="both"/>
        <w:rPr>
          <w:sz w:val="24"/>
          <w:szCs w:val="24"/>
          <w:lang w:val="en-US"/>
        </w:rPr>
      </w:pPr>
      <w:r w:rsidRPr="004F42B8">
        <w:rPr>
          <w:sz w:val="24"/>
          <w:szCs w:val="24"/>
          <w:lang w:val="en-US"/>
        </w:rPr>
        <w:t xml:space="preserve">Sự xuất hiện của </w:t>
      </w:r>
      <w:r>
        <w:rPr>
          <w:sz w:val="24"/>
          <w:szCs w:val="24"/>
          <w:lang w:val="en-US"/>
        </w:rPr>
        <w:t>sản xuất tinh gọn</w:t>
      </w:r>
      <w:r w:rsidRPr="004F42B8">
        <w:rPr>
          <w:sz w:val="24"/>
          <w:szCs w:val="24"/>
          <w:lang w:val="en-US"/>
        </w:rPr>
        <w:t xml:space="preserve">, </w:t>
      </w:r>
      <w:r>
        <w:rPr>
          <w:sz w:val="24"/>
          <w:szCs w:val="24"/>
          <w:lang w:val="en-US"/>
        </w:rPr>
        <w:t>quản trị tinh gọn</w:t>
      </w:r>
      <w:r w:rsidRPr="004F42B8">
        <w:rPr>
          <w:sz w:val="24"/>
          <w:szCs w:val="24"/>
          <w:lang w:val="en-US"/>
        </w:rPr>
        <w:t xml:space="preserve"> đã làm phát sinh nhu cầu về KTTG</w:t>
      </w:r>
      <w:r>
        <w:rPr>
          <w:sz w:val="24"/>
          <w:szCs w:val="24"/>
          <w:lang w:val="en-US"/>
        </w:rPr>
        <w:t xml:space="preserve">. </w:t>
      </w:r>
      <w:r w:rsidR="001A5F60" w:rsidRPr="001A5F60">
        <w:rPr>
          <w:sz w:val="24"/>
          <w:szCs w:val="24"/>
          <w:lang w:val="en-US"/>
        </w:rPr>
        <w:t>Các phương pháp kế toán quản trị truyền thống không cung cấp thông tin tương</w:t>
      </w:r>
      <w:r w:rsidR="001A5F60">
        <w:rPr>
          <w:sz w:val="24"/>
          <w:szCs w:val="24"/>
          <w:lang w:val="en-US"/>
        </w:rPr>
        <w:t xml:space="preserve"> </w:t>
      </w:r>
      <w:r w:rsidR="001A5F60" w:rsidRPr="001A5F60">
        <w:rPr>
          <w:sz w:val="24"/>
          <w:szCs w:val="24"/>
          <w:lang w:val="en-US"/>
        </w:rPr>
        <w:t xml:space="preserve">thích cho </w:t>
      </w:r>
      <w:r w:rsidR="001A5F60">
        <w:rPr>
          <w:sz w:val="24"/>
          <w:szCs w:val="24"/>
          <w:lang w:val="en-US"/>
        </w:rPr>
        <w:t>quản trị tinh gọn</w:t>
      </w:r>
      <w:r w:rsidR="001A5F60" w:rsidRPr="001A5F60">
        <w:rPr>
          <w:sz w:val="24"/>
          <w:szCs w:val="24"/>
          <w:lang w:val="en-US"/>
        </w:rPr>
        <w:t>. Do vậy, đòi hỏi phải tìm kiếm các thông lệ, nguyên tắc và công cụ kế</w:t>
      </w:r>
      <w:r w:rsidR="001A5F60">
        <w:rPr>
          <w:sz w:val="24"/>
          <w:szCs w:val="24"/>
          <w:lang w:val="en-US"/>
        </w:rPr>
        <w:t xml:space="preserve"> </w:t>
      </w:r>
      <w:r w:rsidR="001A5F60" w:rsidRPr="001A5F60">
        <w:rPr>
          <w:sz w:val="24"/>
          <w:szCs w:val="24"/>
          <w:lang w:val="en-US"/>
        </w:rPr>
        <w:t>toán mới để lấp đầy khoảng trống đó</w:t>
      </w:r>
      <w:r w:rsidR="001A5F60">
        <w:rPr>
          <w:sz w:val="24"/>
          <w:szCs w:val="24"/>
          <w:lang w:val="en-US"/>
        </w:rPr>
        <w:t>. Kế toán tinh gọn (</w:t>
      </w:r>
      <w:r w:rsidR="001A5F60" w:rsidRPr="001A5F60">
        <w:rPr>
          <w:sz w:val="24"/>
          <w:szCs w:val="24"/>
          <w:lang w:val="en-US"/>
        </w:rPr>
        <w:t>lean accounting</w:t>
      </w:r>
      <w:r w:rsidR="001A5F60">
        <w:rPr>
          <w:sz w:val="24"/>
          <w:szCs w:val="24"/>
          <w:lang w:val="en-US"/>
        </w:rPr>
        <w:t>)</w:t>
      </w:r>
      <w:r w:rsidR="001A5F60" w:rsidRPr="001A5F60">
        <w:rPr>
          <w:sz w:val="24"/>
          <w:szCs w:val="24"/>
          <w:lang w:val="en-US"/>
        </w:rPr>
        <w:t xml:space="preserve"> đã ra đời từ nhu cầu này</w:t>
      </w:r>
      <w:r w:rsidR="0084713C">
        <w:rPr>
          <w:sz w:val="24"/>
          <w:szCs w:val="24"/>
          <w:lang w:val="en-US"/>
        </w:rPr>
        <w:t xml:space="preserve"> (Ngô Thị Hải Châu, 2024)</w:t>
      </w:r>
    </w:p>
    <w:p w14:paraId="180D29E8" w14:textId="22C21FCF" w:rsidR="00E56171" w:rsidRPr="003C187E" w:rsidRDefault="00E56171" w:rsidP="00AF25E9">
      <w:pPr>
        <w:spacing w:before="30" w:line="288" w:lineRule="auto"/>
        <w:jc w:val="both"/>
        <w:rPr>
          <w:b/>
          <w:sz w:val="24"/>
          <w:szCs w:val="24"/>
          <w:lang w:val="en-US"/>
        </w:rPr>
      </w:pPr>
      <w:r w:rsidRPr="003C187E">
        <w:rPr>
          <w:b/>
          <w:sz w:val="24"/>
          <w:szCs w:val="24"/>
          <w:lang w:val="en-US"/>
        </w:rPr>
        <w:t xml:space="preserve">2. </w:t>
      </w:r>
      <w:r w:rsidR="00D6287C">
        <w:rPr>
          <w:b/>
          <w:sz w:val="24"/>
          <w:szCs w:val="24"/>
          <w:lang w:val="en-US"/>
        </w:rPr>
        <w:t xml:space="preserve">Khái quát về </w:t>
      </w:r>
      <w:r w:rsidR="001A5F60">
        <w:rPr>
          <w:b/>
          <w:sz w:val="24"/>
          <w:szCs w:val="24"/>
          <w:lang w:val="en-US"/>
        </w:rPr>
        <w:t>kế toán tinh gọn</w:t>
      </w:r>
    </w:p>
    <w:p w14:paraId="1FB563DC" w14:textId="5BFD293D" w:rsidR="008F63DB" w:rsidRDefault="0084713C" w:rsidP="0084713C">
      <w:pPr>
        <w:spacing w:before="30" w:line="288" w:lineRule="auto"/>
        <w:ind w:firstLine="720"/>
        <w:jc w:val="both"/>
        <w:rPr>
          <w:bCs/>
          <w:sz w:val="24"/>
          <w:szCs w:val="24"/>
          <w:lang w:val="en-US"/>
        </w:rPr>
      </w:pPr>
      <w:r w:rsidRPr="0084713C">
        <w:rPr>
          <w:bCs/>
          <w:sz w:val="24"/>
          <w:szCs w:val="24"/>
          <w:lang w:val="en-US"/>
        </w:rPr>
        <w:t>K</w:t>
      </w:r>
      <w:r>
        <w:rPr>
          <w:bCs/>
          <w:sz w:val="24"/>
          <w:szCs w:val="24"/>
          <w:lang w:val="en-US"/>
        </w:rPr>
        <w:t>ế toán tinh gọn</w:t>
      </w:r>
      <w:r w:rsidRPr="0084713C">
        <w:rPr>
          <w:bCs/>
          <w:sz w:val="24"/>
          <w:szCs w:val="24"/>
          <w:lang w:val="en-US"/>
        </w:rPr>
        <w:t xml:space="preserve"> </w:t>
      </w:r>
      <w:r>
        <w:rPr>
          <w:bCs/>
          <w:sz w:val="24"/>
          <w:szCs w:val="24"/>
          <w:lang w:val="en-US"/>
        </w:rPr>
        <w:t xml:space="preserve">(KTTG) - </w:t>
      </w:r>
      <w:r w:rsidRPr="001A5F60">
        <w:rPr>
          <w:sz w:val="24"/>
          <w:szCs w:val="24"/>
          <w:lang w:val="en-US"/>
        </w:rPr>
        <w:t>lean accounting</w:t>
      </w:r>
      <w:r w:rsidRPr="0084713C">
        <w:rPr>
          <w:bCs/>
          <w:sz w:val="24"/>
          <w:szCs w:val="24"/>
          <w:lang w:val="en-US"/>
        </w:rPr>
        <w:t xml:space="preserve"> </w:t>
      </w:r>
      <w:r w:rsidRPr="0084713C">
        <w:rPr>
          <w:bCs/>
          <w:sz w:val="24"/>
          <w:szCs w:val="24"/>
          <w:lang w:val="en-US"/>
        </w:rPr>
        <w:t>đã</w:t>
      </w:r>
      <w:r>
        <w:rPr>
          <w:bCs/>
          <w:sz w:val="24"/>
          <w:szCs w:val="24"/>
          <w:lang w:val="en-US"/>
        </w:rPr>
        <w:t xml:space="preserve"> </w:t>
      </w:r>
      <w:r w:rsidRPr="0084713C">
        <w:rPr>
          <w:bCs/>
          <w:sz w:val="24"/>
          <w:szCs w:val="24"/>
          <w:lang w:val="en-US"/>
        </w:rPr>
        <w:t xml:space="preserve">được phát triển vào giữa những năm 1990 để hỗ trợ cho </w:t>
      </w:r>
      <w:r>
        <w:rPr>
          <w:bCs/>
          <w:sz w:val="24"/>
          <w:szCs w:val="24"/>
          <w:lang w:val="en-US"/>
        </w:rPr>
        <w:t>việc quản trị tinh gọn</w:t>
      </w:r>
      <w:r w:rsidRPr="0084713C">
        <w:rPr>
          <w:bCs/>
          <w:sz w:val="24"/>
          <w:szCs w:val="24"/>
          <w:lang w:val="en-US"/>
        </w:rPr>
        <w:t>. Nó bắt đầu như một</w:t>
      </w:r>
      <w:r>
        <w:rPr>
          <w:bCs/>
          <w:sz w:val="24"/>
          <w:szCs w:val="24"/>
          <w:lang w:val="en-US"/>
        </w:rPr>
        <w:t xml:space="preserve"> </w:t>
      </w:r>
      <w:r w:rsidRPr="0084713C">
        <w:rPr>
          <w:bCs/>
          <w:sz w:val="24"/>
          <w:szCs w:val="24"/>
          <w:lang w:val="en-US"/>
        </w:rPr>
        <w:t xml:space="preserve">phương pháp để hiểu lợi ích tài chính của </w:t>
      </w:r>
      <w:r>
        <w:rPr>
          <w:bCs/>
          <w:sz w:val="24"/>
          <w:szCs w:val="24"/>
          <w:lang w:val="en-US"/>
        </w:rPr>
        <w:t>sản xuất tinh gọn</w:t>
      </w:r>
      <w:r w:rsidRPr="0084713C">
        <w:rPr>
          <w:bCs/>
          <w:sz w:val="24"/>
          <w:szCs w:val="24"/>
          <w:lang w:val="en-US"/>
        </w:rPr>
        <w:t>. Trong vài năm tiếp theo, KTTG đã</w:t>
      </w:r>
      <w:r>
        <w:rPr>
          <w:bCs/>
          <w:sz w:val="24"/>
          <w:szCs w:val="24"/>
          <w:lang w:val="en-US"/>
        </w:rPr>
        <w:t xml:space="preserve"> </w:t>
      </w:r>
      <w:r w:rsidRPr="0084713C">
        <w:rPr>
          <w:bCs/>
          <w:sz w:val="24"/>
          <w:szCs w:val="24"/>
          <w:lang w:val="en-US"/>
        </w:rPr>
        <w:t>phát triển thành một sự thay thế đơn giản và hữu ích hơn cho kế toán quản trị và kế toán</w:t>
      </w:r>
      <w:r>
        <w:rPr>
          <w:bCs/>
          <w:sz w:val="24"/>
          <w:szCs w:val="24"/>
          <w:lang w:val="en-US"/>
        </w:rPr>
        <w:t xml:space="preserve"> </w:t>
      </w:r>
      <w:r w:rsidRPr="0084713C">
        <w:rPr>
          <w:bCs/>
          <w:sz w:val="24"/>
          <w:szCs w:val="24"/>
          <w:lang w:val="en-US"/>
        </w:rPr>
        <w:t>chi phí truyền thống. Phải mất một thời gian để được chấp nhận, nhưng nó hiện đang</w:t>
      </w:r>
      <w:r>
        <w:rPr>
          <w:bCs/>
          <w:sz w:val="24"/>
          <w:szCs w:val="24"/>
          <w:lang w:val="en-US"/>
        </w:rPr>
        <w:t xml:space="preserve"> </w:t>
      </w:r>
      <w:r w:rsidRPr="0084713C">
        <w:rPr>
          <w:bCs/>
          <w:sz w:val="24"/>
          <w:szCs w:val="24"/>
          <w:lang w:val="en-US"/>
        </w:rPr>
        <w:t xml:space="preserve">ngày càng được sử dụng rộng rãi bởi các </w:t>
      </w:r>
      <w:r>
        <w:rPr>
          <w:bCs/>
          <w:sz w:val="24"/>
          <w:szCs w:val="24"/>
          <w:lang w:val="en-US"/>
        </w:rPr>
        <w:t>doanh nghiệp (</w:t>
      </w:r>
      <w:r w:rsidRPr="0084713C">
        <w:rPr>
          <w:bCs/>
          <w:sz w:val="24"/>
          <w:szCs w:val="24"/>
          <w:lang w:val="en-US"/>
        </w:rPr>
        <w:t>DN</w:t>
      </w:r>
      <w:r>
        <w:rPr>
          <w:bCs/>
          <w:sz w:val="24"/>
          <w:szCs w:val="24"/>
          <w:lang w:val="en-US"/>
        </w:rPr>
        <w:t>)</w:t>
      </w:r>
      <w:r w:rsidRPr="0084713C">
        <w:rPr>
          <w:bCs/>
          <w:sz w:val="24"/>
          <w:szCs w:val="24"/>
          <w:lang w:val="en-US"/>
        </w:rPr>
        <w:t xml:space="preserve"> áp dụng </w:t>
      </w:r>
      <w:r>
        <w:rPr>
          <w:bCs/>
          <w:sz w:val="24"/>
          <w:szCs w:val="24"/>
          <w:lang w:val="en-US"/>
        </w:rPr>
        <w:t>quản trị tinh gọn</w:t>
      </w:r>
      <w:r w:rsidRPr="0084713C">
        <w:rPr>
          <w:bCs/>
          <w:sz w:val="24"/>
          <w:szCs w:val="24"/>
          <w:lang w:val="en-US"/>
        </w:rPr>
        <w:t>. Mặc dù ban đầu được phát</w:t>
      </w:r>
      <w:r>
        <w:rPr>
          <w:bCs/>
          <w:sz w:val="24"/>
          <w:szCs w:val="24"/>
          <w:lang w:val="en-US"/>
        </w:rPr>
        <w:t xml:space="preserve"> </w:t>
      </w:r>
      <w:r w:rsidRPr="0084713C">
        <w:rPr>
          <w:bCs/>
          <w:sz w:val="24"/>
          <w:szCs w:val="24"/>
          <w:lang w:val="en-US"/>
        </w:rPr>
        <w:t xml:space="preserve">triển để hỗ trợ các DN áp dụng </w:t>
      </w:r>
      <w:r>
        <w:rPr>
          <w:bCs/>
          <w:sz w:val="24"/>
          <w:szCs w:val="24"/>
          <w:lang w:val="en-US"/>
        </w:rPr>
        <w:t>sản xuất tinh gọn</w:t>
      </w:r>
      <w:r w:rsidRPr="0084713C">
        <w:rPr>
          <w:bCs/>
          <w:sz w:val="24"/>
          <w:szCs w:val="24"/>
          <w:lang w:val="en-US"/>
        </w:rPr>
        <w:t xml:space="preserve"> nhưng cũng giống như </w:t>
      </w:r>
      <w:r>
        <w:rPr>
          <w:bCs/>
          <w:sz w:val="24"/>
          <w:szCs w:val="24"/>
          <w:lang w:val="en-US"/>
        </w:rPr>
        <w:t>quản trị tinh gọn</w:t>
      </w:r>
      <w:r w:rsidRPr="0084713C">
        <w:rPr>
          <w:bCs/>
          <w:sz w:val="24"/>
          <w:szCs w:val="24"/>
          <w:lang w:val="en-US"/>
        </w:rPr>
        <w:t>, ngày nay nó đang</w:t>
      </w:r>
      <w:r>
        <w:rPr>
          <w:bCs/>
          <w:sz w:val="24"/>
          <w:szCs w:val="24"/>
          <w:lang w:val="en-US"/>
        </w:rPr>
        <w:t xml:space="preserve"> </w:t>
      </w:r>
      <w:r w:rsidRPr="0084713C">
        <w:rPr>
          <w:bCs/>
          <w:sz w:val="24"/>
          <w:szCs w:val="24"/>
          <w:lang w:val="en-US"/>
        </w:rPr>
        <w:t>nhanh chóng chuyển sang các tổ chức hoạt động trong lĩnh vực dịch vụ tài chính, y tế,</w:t>
      </w:r>
      <w:r>
        <w:rPr>
          <w:bCs/>
          <w:sz w:val="24"/>
          <w:szCs w:val="24"/>
          <w:lang w:val="en-US"/>
        </w:rPr>
        <w:t xml:space="preserve"> </w:t>
      </w:r>
      <w:r w:rsidRPr="0084713C">
        <w:rPr>
          <w:bCs/>
          <w:sz w:val="24"/>
          <w:szCs w:val="24"/>
          <w:lang w:val="en-US"/>
        </w:rPr>
        <w:t>chính phủ, giáo dục,...</w:t>
      </w:r>
    </w:p>
    <w:p w14:paraId="757A29B6" w14:textId="2E71E9B3" w:rsidR="007150D0" w:rsidRDefault="0084713C" w:rsidP="0084713C">
      <w:pPr>
        <w:spacing w:before="30" w:line="288" w:lineRule="auto"/>
        <w:ind w:firstLine="720"/>
        <w:jc w:val="both"/>
        <w:rPr>
          <w:bCs/>
          <w:sz w:val="24"/>
          <w:szCs w:val="24"/>
          <w:lang w:val="en-US"/>
        </w:rPr>
      </w:pPr>
      <w:r w:rsidRPr="0084713C">
        <w:rPr>
          <w:bCs/>
          <w:sz w:val="24"/>
          <w:szCs w:val="24"/>
          <w:lang w:val="en-US"/>
        </w:rPr>
        <w:t>Theo Maskell (2000)</w:t>
      </w:r>
      <w:r>
        <w:rPr>
          <w:bCs/>
          <w:sz w:val="24"/>
          <w:szCs w:val="24"/>
          <w:lang w:val="en-US"/>
        </w:rPr>
        <w:t xml:space="preserve"> thì </w:t>
      </w:r>
      <w:r w:rsidRPr="0084713C">
        <w:rPr>
          <w:bCs/>
          <w:sz w:val="24"/>
          <w:szCs w:val="24"/>
          <w:lang w:val="en-US"/>
        </w:rPr>
        <w:t>KTTG nhằm mục đích cung cấp thông tin hữu ích cho</w:t>
      </w:r>
      <w:r>
        <w:rPr>
          <w:bCs/>
          <w:sz w:val="24"/>
          <w:szCs w:val="24"/>
          <w:lang w:val="en-US"/>
        </w:rPr>
        <w:t xml:space="preserve"> </w:t>
      </w:r>
      <w:r w:rsidRPr="0084713C">
        <w:rPr>
          <w:bCs/>
          <w:sz w:val="24"/>
          <w:szCs w:val="24"/>
          <w:lang w:val="en-US"/>
        </w:rPr>
        <w:t>những người đang thực hiện và duy trì SXTG. Brosnahan (2008) cho rằng KTTG là một</w:t>
      </w:r>
      <w:r w:rsidR="007150D0">
        <w:rPr>
          <w:bCs/>
          <w:sz w:val="24"/>
          <w:szCs w:val="24"/>
          <w:lang w:val="en-US"/>
        </w:rPr>
        <w:t xml:space="preserve"> </w:t>
      </w:r>
      <w:r w:rsidRPr="0084713C">
        <w:rPr>
          <w:bCs/>
          <w:sz w:val="24"/>
          <w:szCs w:val="24"/>
          <w:lang w:val="en-US"/>
        </w:rPr>
        <w:t>phương pháp kế toán mới xuất phát từ sự quan tâm ngày càng tăng của các tổ chức trong</w:t>
      </w:r>
      <w:r w:rsidR="007150D0">
        <w:rPr>
          <w:bCs/>
          <w:sz w:val="24"/>
          <w:szCs w:val="24"/>
          <w:lang w:val="en-US"/>
        </w:rPr>
        <w:t xml:space="preserve"> </w:t>
      </w:r>
      <w:r w:rsidRPr="0084713C">
        <w:rPr>
          <w:bCs/>
          <w:sz w:val="24"/>
          <w:szCs w:val="24"/>
          <w:lang w:val="en-US"/>
        </w:rPr>
        <w:t xml:space="preserve">việc nắm bắt văn hóa của tư duy tinh gọn. </w:t>
      </w:r>
    </w:p>
    <w:p w14:paraId="3F89B1E1" w14:textId="77777777" w:rsidR="007150D0" w:rsidRDefault="0084713C" w:rsidP="0084713C">
      <w:pPr>
        <w:spacing w:before="30" w:line="288" w:lineRule="auto"/>
        <w:ind w:firstLine="720"/>
        <w:jc w:val="both"/>
        <w:rPr>
          <w:bCs/>
          <w:sz w:val="24"/>
          <w:szCs w:val="24"/>
          <w:lang w:val="en-US"/>
        </w:rPr>
      </w:pPr>
      <w:r w:rsidRPr="0084713C">
        <w:rPr>
          <w:bCs/>
          <w:sz w:val="24"/>
          <w:szCs w:val="24"/>
          <w:lang w:val="en-US"/>
        </w:rPr>
        <w:t>Nguyễn Văn Hòa (2020) thì cho rằng KTTG</w:t>
      </w:r>
      <w:r w:rsidR="007150D0">
        <w:rPr>
          <w:bCs/>
          <w:sz w:val="24"/>
          <w:szCs w:val="24"/>
          <w:lang w:val="en-US"/>
        </w:rPr>
        <w:t xml:space="preserve"> </w:t>
      </w:r>
      <w:r w:rsidRPr="0084713C">
        <w:rPr>
          <w:bCs/>
          <w:sz w:val="24"/>
          <w:szCs w:val="24"/>
          <w:lang w:val="en-US"/>
        </w:rPr>
        <w:t>là việc áp dụng tư duy tinh gọn cho tất cả các quy trình và hệ thống tài chính và kế toán</w:t>
      </w:r>
      <w:r w:rsidR="007150D0">
        <w:rPr>
          <w:bCs/>
          <w:sz w:val="24"/>
          <w:szCs w:val="24"/>
          <w:lang w:val="en-US"/>
        </w:rPr>
        <w:t xml:space="preserve"> </w:t>
      </w:r>
      <w:r w:rsidRPr="0084713C">
        <w:rPr>
          <w:bCs/>
          <w:sz w:val="24"/>
          <w:szCs w:val="24"/>
          <w:lang w:val="en-US"/>
        </w:rPr>
        <w:t xml:space="preserve">của DN. </w:t>
      </w:r>
    </w:p>
    <w:p w14:paraId="241BF2F3" w14:textId="77777777" w:rsidR="007150D0" w:rsidRDefault="0084713C" w:rsidP="0084713C">
      <w:pPr>
        <w:spacing w:before="30" w:line="288" w:lineRule="auto"/>
        <w:ind w:firstLine="720"/>
        <w:jc w:val="both"/>
        <w:rPr>
          <w:bCs/>
          <w:sz w:val="24"/>
          <w:szCs w:val="24"/>
          <w:lang w:val="en-US"/>
        </w:rPr>
      </w:pPr>
      <w:r w:rsidRPr="0084713C">
        <w:rPr>
          <w:bCs/>
          <w:sz w:val="24"/>
          <w:szCs w:val="24"/>
          <w:lang w:val="en-US"/>
        </w:rPr>
        <w:t>Hơn</w:t>
      </w:r>
      <w:r w:rsidR="007150D0">
        <w:rPr>
          <w:bCs/>
          <w:sz w:val="24"/>
          <w:szCs w:val="24"/>
          <w:lang w:val="en-US"/>
        </w:rPr>
        <w:t xml:space="preserve"> </w:t>
      </w:r>
      <w:r w:rsidRPr="0084713C">
        <w:rPr>
          <w:bCs/>
          <w:sz w:val="24"/>
          <w:szCs w:val="24"/>
          <w:lang w:val="en-US"/>
        </w:rPr>
        <w:t>nữa, Maskell và cộng sự (2011) cho rằng theo một nghĩa nào đó KTTG không phải là mới</w:t>
      </w:r>
      <w:r w:rsidR="007150D0">
        <w:rPr>
          <w:bCs/>
          <w:sz w:val="24"/>
          <w:szCs w:val="24"/>
          <w:lang w:val="en-US"/>
        </w:rPr>
        <w:t xml:space="preserve"> </w:t>
      </w:r>
      <w:r w:rsidRPr="0084713C">
        <w:rPr>
          <w:bCs/>
          <w:sz w:val="24"/>
          <w:szCs w:val="24"/>
          <w:lang w:val="en-US"/>
        </w:rPr>
        <w:t>bởi vì phương pháp tài chính, kế toán, đo lường và quản lý được sử dụng gắn với KTTG</w:t>
      </w:r>
      <w:r w:rsidR="007150D0">
        <w:rPr>
          <w:bCs/>
          <w:sz w:val="24"/>
          <w:szCs w:val="24"/>
          <w:lang w:val="en-US"/>
        </w:rPr>
        <w:t xml:space="preserve"> </w:t>
      </w:r>
      <w:r w:rsidRPr="0084713C">
        <w:rPr>
          <w:bCs/>
          <w:sz w:val="24"/>
          <w:szCs w:val="24"/>
          <w:lang w:val="en-US"/>
        </w:rPr>
        <w:t xml:space="preserve">đã được sử dụng trong nhiều năm. </w:t>
      </w:r>
    </w:p>
    <w:p w14:paraId="7BC479B0" w14:textId="1253637A" w:rsidR="0084713C" w:rsidRDefault="0084713C" w:rsidP="0084713C">
      <w:pPr>
        <w:spacing w:before="30" w:line="288" w:lineRule="auto"/>
        <w:ind w:firstLine="720"/>
        <w:jc w:val="both"/>
        <w:rPr>
          <w:bCs/>
          <w:sz w:val="24"/>
          <w:szCs w:val="24"/>
          <w:lang w:val="en-US"/>
        </w:rPr>
      </w:pPr>
      <w:r w:rsidRPr="0084713C">
        <w:rPr>
          <w:bCs/>
          <w:sz w:val="24"/>
          <w:szCs w:val="24"/>
          <w:lang w:val="en-US"/>
        </w:rPr>
        <w:t>Theo các giai đoạn phát triển của kế toán quản trị trong</w:t>
      </w:r>
      <w:r w:rsidR="007150D0">
        <w:rPr>
          <w:bCs/>
          <w:sz w:val="24"/>
          <w:szCs w:val="24"/>
          <w:lang w:val="en-US"/>
        </w:rPr>
        <w:t xml:space="preserve"> </w:t>
      </w:r>
      <w:r w:rsidRPr="0084713C">
        <w:rPr>
          <w:bCs/>
          <w:sz w:val="24"/>
          <w:szCs w:val="24"/>
          <w:lang w:val="en-US"/>
        </w:rPr>
        <w:t>Nguyễn Thị Phương Dung và cộng sự (2021), thì KTTG có thể được xếp vào giai đoạn</w:t>
      </w:r>
      <w:r w:rsidR="007150D0">
        <w:rPr>
          <w:bCs/>
          <w:sz w:val="24"/>
          <w:szCs w:val="24"/>
          <w:lang w:val="en-US"/>
        </w:rPr>
        <w:t xml:space="preserve"> </w:t>
      </w:r>
      <w:r w:rsidRPr="0084713C">
        <w:rPr>
          <w:bCs/>
          <w:sz w:val="24"/>
          <w:szCs w:val="24"/>
          <w:lang w:val="en-US"/>
        </w:rPr>
        <w:t>phát triển cao nhất (giai đoạn 4) - kế toán quản trị chiến lược</w:t>
      </w:r>
      <w:r w:rsidR="007150D0">
        <w:rPr>
          <w:bCs/>
          <w:sz w:val="24"/>
          <w:szCs w:val="24"/>
          <w:lang w:val="en-US"/>
        </w:rPr>
        <w:t>.</w:t>
      </w:r>
    </w:p>
    <w:p w14:paraId="2D334D88" w14:textId="610E956B" w:rsidR="004F42B8" w:rsidRPr="003C187E" w:rsidRDefault="007150D0" w:rsidP="004F42B8">
      <w:pPr>
        <w:spacing w:before="30" w:line="288" w:lineRule="auto"/>
        <w:ind w:firstLine="720"/>
        <w:jc w:val="both"/>
        <w:rPr>
          <w:sz w:val="24"/>
          <w:szCs w:val="24"/>
          <w:lang w:val="en-US"/>
        </w:rPr>
      </w:pPr>
      <w:r>
        <w:rPr>
          <w:bCs/>
          <w:sz w:val="24"/>
          <w:szCs w:val="24"/>
          <w:lang w:val="en-US"/>
        </w:rPr>
        <w:t>Từ</w:t>
      </w:r>
      <w:r w:rsidRPr="007150D0">
        <w:rPr>
          <w:bCs/>
          <w:sz w:val="24"/>
          <w:szCs w:val="24"/>
          <w:lang w:val="en-US"/>
        </w:rPr>
        <w:t xml:space="preserve"> </w:t>
      </w:r>
      <w:r>
        <w:rPr>
          <w:bCs/>
          <w:sz w:val="24"/>
          <w:szCs w:val="24"/>
          <w:lang w:val="en-US"/>
        </w:rPr>
        <w:t>nhiều</w:t>
      </w:r>
      <w:r w:rsidRPr="007150D0">
        <w:rPr>
          <w:bCs/>
          <w:sz w:val="24"/>
          <w:szCs w:val="24"/>
          <w:lang w:val="en-US"/>
        </w:rPr>
        <w:t xml:space="preserve"> quan niệm </w:t>
      </w:r>
      <w:r>
        <w:rPr>
          <w:bCs/>
          <w:sz w:val="24"/>
          <w:szCs w:val="24"/>
          <w:lang w:val="en-US"/>
        </w:rPr>
        <w:t>khác nhau</w:t>
      </w:r>
      <w:r w:rsidRPr="007150D0">
        <w:rPr>
          <w:bCs/>
          <w:sz w:val="24"/>
          <w:szCs w:val="24"/>
          <w:lang w:val="en-US"/>
        </w:rPr>
        <w:t xml:space="preserve">, </w:t>
      </w:r>
      <w:r>
        <w:rPr>
          <w:bCs/>
          <w:sz w:val="24"/>
          <w:szCs w:val="24"/>
          <w:lang w:val="en-US"/>
        </w:rPr>
        <w:t>có thể thấy</w:t>
      </w:r>
      <w:r w:rsidRPr="007150D0">
        <w:rPr>
          <w:bCs/>
          <w:sz w:val="24"/>
          <w:szCs w:val="24"/>
          <w:lang w:val="en-US"/>
        </w:rPr>
        <w:t xml:space="preserve"> KTTG là một hệ thống kế toán</w:t>
      </w:r>
      <w:r>
        <w:rPr>
          <w:bCs/>
          <w:sz w:val="24"/>
          <w:szCs w:val="24"/>
          <w:lang w:val="en-US"/>
        </w:rPr>
        <w:t xml:space="preserve"> </w:t>
      </w:r>
      <w:r w:rsidRPr="007150D0">
        <w:rPr>
          <w:bCs/>
          <w:sz w:val="24"/>
          <w:szCs w:val="24"/>
          <w:lang w:val="en-US"/>
        </w:rPr>
        <w:t xml:space="preserve">quản trị mới, hoạt động theo triết lí tinh gọn và nhằm cung cấp thông tin cho </w:t>
      </w:r>
      <w:r>
        <w:rPr>
          <w:bCs/>
          <w:sz w:val="24"/>
          <w:szCs w:val="24"/>
          <w:lang w:val="en-US"/>
        </w:rPr>
        <w:t>quản trị tinh gọn</w:t>
      </w:r>
      <w:r w:rsidRPr="007150D0">
        <w:rPr>
          <w:bCs/>
          <w:sz w:val="24"/>
          <w:szCs w:val="24"/>
          <w:lang w:val="en-US"/>
        </w:rPr>
        <w:t>.</w:t>
      </w:r>
      <w:r>
        <w:rPr>
          <w:bCs/>
          <w:sz w:val="24"/>
          <w:szCs w:val="24"/>
          <w:lang w:val="en-US"/>
        </w:rPr>
        <w:t xml:space="preserve"> </w:t>
      </w:r>
      <w:r w:rsidRPr="007150D0">
        <w:rPr>
          <w:bCs/>
          <w:sz w:val="24"/>
          <w:szCs w:val="24"/>
          <w:lang w:val="en-US"/>
        </w:rPr>
        <w:t xml:space="preserve">KTTG được áp dụng ở các DN áp dụng </w:t>
      </w:r>
      <w:r w:rsidR="004F42B8">
        <w:rPr>
          <w:bCs/>
          <w:sz w:val="24"/>
          <w:szCs w:val="24"/>
          <w:lang w:val="en-US"/>
        </w:rPr>
        <w:t>quản trị tinh gọn</w:t>
      </w:r>
      <w:r w:rsidRPr="007150D0">
        <w:rPr>
          <w:bCs/>
          <w:sz w:val="24"/>
          <w:szCs w:val="24"/>
          <w:lang w:val="en-US"/>
        </w:rPr>
        <w:t xml:space="preserve"> nên KTTG phải được xây dựng</w:t>
      </w:r>
      <w:r w:rsidR="004F42B8">
        <w:rPr>
          <w:bCs/>
          <w:sz w:val="24"/>
          <w:szCs w:val="24"/>
          <w:lang w:val="en-US"/>
        </w:rPr>
        <w:t xml:space="preserve"> </w:t>
      </w:r>
      <w:r w:rsidRPr="007150D0">
        <w:rPr>
          <w:bCs/>
          <w:sz w:val="24"/>
          <w:szCs w:val="24"/>
          <w:lang w:val="en-US"/>
        </w:rPr>
        <w:t>trên cơ sở các nguyên tắc tinh gọn hay bản thân KTTG phải đơn giản, trực quan và ít</w:t>
      </w:r>
      <w:r w:rsidR="004F42B8">
        <w:rPr>
          <w:bCs/>
          <w:sz w:val="24"/>
          <w:szCs w:val="24"/>
          <w:lang w:val="en-US"/>
        </w:rPr>
        <w:t xml:space="preserve"> </w:t>
      </w:r>
      <w:r w:rsidRPr="007150D0">
        <w:rPr>
          <w:bCs/>
          <w:sz w:val="24"/>
          <w:szCs w:val="24"/>
          <w:lang w:val="en-US"/>
        </w:rPr>
        <w:t xml:space="preserve">lãng phí. Để cung cấp thông tin cho </w:t>
      </w:r>
      <w:r w:rsidR="004F42B8">
        <w:rPr>
          <w:bCs/>
          <w:sz w:val="24"/>
          <w:szCs w:val="24"/>
          <w:lang w:val="en-US"/>
        </w:rPr>
        <w:t>quản trị tinh gọn</w:t>
      </w:r>
      <w:r w:rsidRPr="007150D0">
        <w:rPr>
          <w:bCs/>
          <w:sz w:val="24"/>
          <w:szCs w:val="24"/>
          <w:lang w:val="en-US"/>
        </w:rPr>
        <w:t>, KTTG phải có các quy trình, công cụ và</w:t>
      </w:r>
      <w:r w:rsidR="004F42B8">
        <w:rPr>
          <w:bCs/>
          <w:sz w:val="24"/>
          <w:szCs w:val="24"/>
          <w:lang w:val="en-US"/>
        </w:rPr>
        <w:t xml:space="preserve"> </w:t>
      </w:r>
      <w:r w:rsidRPr="007150D0">
        <w:rPr>
          <w:bCs/>
          <w:sz w:val="24"/>
          <w:szCs w:val="24"/>
          <w:lang w:val="en-US"/>
        </w:rPr>
        <w:t>thước đo phù hợp để thúc đẩy các hoạt động cải tiến, cung cấp thông tin phù hợp để</w:t>
      </w:r>
      <w:r w:rsidR="004F42B8">
        <w:rPr>
          <w:bCs/>
          <w:sz w:val="24"/>
          <w:szCs w:val="24"/>
          <w:lang w:val="en-US"/>
        </w:rPr>
        <w:t xml:space="preserve"> </w:t>
      </w:r>
      <w:r w:rsidRPr="007150D0">
        <w:rPr>
          <w:bCs/>
          <w:sz w:val="24"/>
          <w:szCs w:val="24"/>
          <w:lang w:val="en-US"/>
        </w:rPr>
        <w:t>kiểm soát và ra quyết định, hiểu biết về giá trị của khách hàng và đánh giá chính xác</w:t>
      </w:r>
      <w:r w:rsidR="004F42B8">
        <w:rPr>
          <w:bCs/>
          <w:sz w:val="24"/>
          <w:szCs w:val="24"/>
          <w:lang w:val="en-US"/>
        </w:rPr>
        <w:t xml:space="preserve"> </w:t>
      </w:r>
      <w:r w:rsidRPr="007150D0">
        <w:rPr>
          <w:bCs/>
          <w:sz w:val="24"/>
          <w:szCs w:val="24"/>
          <w:lang w:val="en-US"/>
        </w:rPr>
        <w:t>tác động tài chính của cải tiến tinh gọn</w:t>
      </w:r>
      <w:r w:rsidR="004F42B8">
        <w:rPr>
          <w:bCs/>
          <w:sz w:val="24"/>
          <w:szCs w:val="24"/>
          <w:lang w:val="en-US"/>
        </w:rPr>
        <w:t xml:space="preserve"> (</w:t>
      </w:r>
      <w:r w:rsidR="004F42B8">
        <w:rPr>
          <w:sz w:val="24"/>
          <w:szCs w:val="24"/>
          <w:lang w:val="en-US"/>
        </w:rPr>
        <w:t>Ngô Thị Hải Châu, 2024)</w:t>
      </w:r>
      <w:r w:rsidR="004F42B8">
        <w:rPr>
          <w:sz w:val="24"/>
          <w:szCs w:val="24"/>
          <w:lang w:val="en-US"/>
        </w:rPr>
        <w:t>.</w:t>
      </w:r>
    </w:p>
    <w:p w14:paraId="196113CC" w14:textId="0277A78B" w:rsidR="00D6287C" w:rsidRDefault="00E56171" w:rsidP="00AF25E9">
      <w:pPr>
        <w:spacing w:before="30" w:line="288" w:lineRule="auto"/>
        <w:jc w:val="both"/>
        <w:rPr>
          <w:b/>
          <w:sz w:val="24"/>
          <w:szCs w:val="24"/>
          <w:lang w:val="en-US"/>
        </w:rPr>
      </w:pPr>
      <w:r w:rsidRPr="003C187E">
        <w:rPr>
          <w:b/>
          <w:sz w:val="24"/>
          <w:szCs w:val="24"/>
          <w:lang w:val="en-US"/>
        </w:rPr>
        <w:lastRenderedPageBreak/>
        <w:t xml:space="preserve">3. </w:t>
      </w:r>
      <w:r w:rsidR="001A5F60">
        <w:rPr>
          <w:b/>
          <w:sz w:val="24"/>
          <w:szCs w:val="24"/>
          <w:lang w:val="en-US"/>
        </w:rPr>
        <w:t>Vai trò của kế toán tinh gọn trong các doanh nghiệp sản xuất tại Việt Nam</w:t>
      </w:r>
    </w:p>
    <w:p w14:paraId="0385B36E" w14:textId="6CB862CE" w:rsidR="000C0265" w:rsidRPr="000C0265" w:rsidRDefault="000C0265" w:rsidP="000C0265">
      <w:pPr>
        <w:spacing w:before="30" w:line="288" w:lineRule="auto"/>
        <w:ind w:firstLine="720"/>
        <w:jc w:val="both"/>
        <w:rPr>
          <w:sz w:val="24"/>
          <w:szCs w:val="24"/>
          <w:lang w:val="en-US"/>
        </w:rPr>
      </w:pPr>
      <w:r w:rsidRPr="000C0265">
        <w:rPr>
          <w:sz w:val="24"/>
          <w:szCs w:val="24"/>
          <w:lang w:val="en-US"/>
        </w:rPr>
        <w:t>Theo Maskell và cộng sự (2011), vai trò của KTTG được thể hiện thông qua</w:t>
      </w:r>
      <w:r>
        <w:rPr>
          <w:sz w:val="24"/>
          <w:szCs w:val="24"/>
          <w:lang w:val="en-US"/>
        </w:rPr>
        <w:t xml:space="preserve"> </w:t>
      </w:r>
      <w:r w:rsidRPr="000C0265">
        <w:rPr>
          <w:sz w:val="24"/>
          <w:szCs w:val="24"/>
          <w:lang w:val="en-US"/>
        </w:rPr>
        <w:t>việc KTTG cung cấp:</w:t>
      </w:r>
      <w:r>
        <w:rPr>
          <w:sz w:val="24"/>
          <w:szCs w:val="24"/>
          <w:lang w:val="en-US"/>
        </w:rPr>
        <w:t xml:space="preserve"> </w:t>
      </w:r>
      <w:r w:rsidRPr="000C0265">
        <w:rPr>
          <w:sz w:val="24"/>
          <w:szCs w:val="24"/>
          <w:lang w:val="en-US"/>
        </w:rPr>
        <w:t>Các thước đo hiệu suất tinh gọn, thay thế các thước đo truyền thống</w:t>
      </w:r>
      <w:r>
        <w:rPr>
          <w:sz w:val="24"/>
          <w:szCs w:val="24"/>
          <w:lang w:val="en-US"/>
        </w:rPr>
        <w:t xml:space="preserve">; </w:t>
      </w:r>
      <w:r w:rsidRPr="000C0265">
        <w:rPr>
          <w:sz w:val="24"/>
          <w:szCs w:val="24"/>
          <w:lang w:val="en-US"/>
        </w:rPr>
        <w:t xml:space="preserve"> Phương pháp xác định tác động toàn diện của việc cải tiến SXTG</w:t>
      </w:r>
      <w:r>
        <w:rPr>
          <w:sz w:val="24"/>
          <w:szCs w:val="24"/>
          <w:lang w:val="en-US"/>
        </w:rPr>
        <w:t xml:space="preserve">; </w:t>
      </w:r>
      <w:r w:rsidRPr="000C0265">
        <w:rPr>
          <w:sz w:val="24"/>
          <w:szCs w:val="24"/>
          <w:lang w:val="en-US"/>
        </w:rPr>
        <w:t>Một cách tốt hơn để hiểu chi phí, giá thành sản phẩm và chi phí dòng giá trị</w:t>
      </w:r>
      <w:r>
        <w:rPr>
          <w:sz w:val="24"/>
          <w:szCs w:val="24"/>
          <w:lang w:val="en-US"/>
        </w:rPr>
        <w:t xml:space="preserve">; </w:t>
      </w:r>
      <w:r w:rsidRPr="000C0265">
        <w:rPr>
          <w:sz w:val="24"/>
          <w:szCs w:val="24"/>
          <w:lang w:val="en-US"/>
        </w:rPr>
        <w:t>Phương pháp loại bỏ lượng lớn lãng phí khỏi hệ thống kế toán, kiểm soát và đo lường</w:t>
      </w:r>
      <w:r>
        <w:rPr>
          <w:sz w:val="24"/>
          <w:szCs w:val="24"/>
          <w:lang w:val="en-US"/>
        </w:rPr>
        <w:t>;</w:t>
      </w:r>
      <w:r w:rsidRPr="000C0265">
        <w:rPr>
          <w:sz w:val="24"/>
          <w:szCs w:val="24"/>
          <w:lang w:val="en-US"/>
        </w:rPr>
        <w:t xml:space="preserve"> Giải phóng thời gian để các chuyên gia tài chính làm việc để cải tiến tinh gọn</w:t>
      </w:r>
      <w:r>
        <w:rPr>
          <w:sz w:val="24"/>
          <w:szCs w:val="24"/>
          <w:lang w:val="en-US"/>
        </w:rPr>
        <w:t>;</w:t>
      </w:r>
      <w:r w:rsidRPr="000C0265">
        <w:rPr>
          <w:sz w:val="24"/>
          <w:szCs w:val="24"/>
          <w:lang w:val="en-US"/>
        </w:rPr>
        <w:t xml:space="preserve"> Các cách mới để đưa ra quyết định quản lý liên quan đến giá cả, khả năng sinh</w:t>
      </w:r>
      <w:r>
        <w:rPr>
          <w:sz w:val="24"/>
          <w:szCs w:val="24"/>
          <w:lang w:val="en-US"/>
        </w:rPr>
        <w:t xml:space="preserve"> </w:t>
      </w:r>
      <w:r w:rsidRPr="000C0265">
        <w:rPr>
          <w:sz w:val="24"/>
          <w:szCs w:val="24"/>
          <w:lang w:val="en-US"/>
        </w:rPr>
        <w:t>lời, sản xuất /mua ngoài, hợp lý hóa sản phẩm/khách hàng</w:t>
      </w:r>
      <w:r>
        <w:rPr>
          <w:sz w:val="24"/>
          <w:szCs w:val="24"/>
          <w:lang w:val="en-US"/>
        </w:rPr>
        <w:t xml:space="preserve">; </w:t>
      </w:r>
      <w:r w:rsidRPr="000C0265">
        <w:rPr>
          <w:sz w:val="24"/>
          <w:szCs w:val="24"/>
          <w:lang w:val="en-US"/>
        </w:rPr>
        <w:t>Một cách để tập trung kinh doanh vào giá trị được tạo ra cho khách hàng.</w:t>
      </w:r>
    </w:p>
    <w:p w14:paraId="457BE296" w14:textId="3761B641" w:rsidR="000C0265" w:rsidRPr="000C0265" w:rsidRDefault="000C0265" w:rsidP="000C0265">
      <w:pPr>
        <w:spacing w:before="30" w:line="288" w:lineRule="auto"/>
        <w:ind w:firstLine="720"/>
        <w:jc w:val="both"/>
        <w:rPr>
          <w:sz w:val="24"/>
          <w:szCs w:val="24"/>
          <w:lang w:val="en-US"/>
        </w:rPr>
      </w:pPr>
      <w:r w:rsidRPr="000C0265">
        <w:rPr>
          <w:sz w:val="24"/>
          <w:szCs w:val="24"/>
          <w:lang w:val="en-US"/>
        </w:rPr>
        <w:t xml:space="preserve">Do đó, KTTG mang lại cho DN những lợi ích </w:t>
      </w:r>
      <w:r>
        <w:rPr>
          <w:sz w:val="24"/>
          <w:szCs w:val="24"/>
          <w:lang w:val="en-US"/>
        </w:rPr>
        <w:t xml:space="preserve">như: </w:t>
      </w:r>
      <w:r w:rsidRPr="000C0265">
        <w:rPr>
          <w:sz w:val="24"/>
          <w:szCs w:val="24"/>
          <w:lang w:val="en-US"/>
        </w:rPr>
        <w:t>(1) Cung cấp thông tin phục vụ ra quyết định tốt hơn. Những quyết định tốt hơn</w:t>
      </w:r>
      <w:r>
        <w:rPr>
          <w:sz w:val="24"/>
          <w:szCs w:val="24"/>
          <w:lang w:val="en-US"/>
        </w:rPr>
        <w:t xml:space="preserve"> </w:t>
      </w:r>
      <w:r w:rsidRPr="000C0265">
        <w:rPr>
          <w:sz w:val="24"/>
          <w:szCs w:val="24"/>
          <w:lang w:val="en-US"/>
        </w:rPr>
        <w:t>này sẽ cải thiện doanh thu và lợi nhuận của DN.</w:t>
      </w:r>
      <w:r>
        <w:rPr>
          <w:sz w:val="24"/>
          <w:szCs w:val="24"/>
          <w:lang w:val="en-US"/>
        </w:rPr>
        <w:t xml:space="preserve"> </w:t>
      </w:r>
      <w:r w:rsidRPr="000C0265">
        <w:rPr>
          <w:sz w:val="24"/>
          <w:szCs w:val="24"/>
          <w:lang w:val="en-US"/>
        </w:rPr>
        <w:t>(2) Giảm thời gian, chi phí và lãng phí của hoạt động kế toán bằng cách loại bỏ</w:t>
      </w:r>
      <w:r>
        <w:rPr>
          <w:sz w:val="24"/>
          <w:szCs w:val="24"/>
          <w:lang w:val="en-US"/>
        </w:rPr>
        <w:t xml:space="preserve"> </w:t>
      </w:r>
      <w:r w:rsidRPr="000C0265">
        <w:rPr>
          <w:sz w:val="24"/>
          <w:szCs w:val="24"/>
          <w:lang w:val="en-US"/>
        </w:rPr>
        <w:t>các giao dịch và các hệ thống lãng phí.</w:t>
      </w:r>
      <w:r>
        <w:rPr>
          <w:sz w:val="24"/>
          <w:szCs w:val="24"/>
          <w:lang w:val="en-US"/>
        </w:rPr>
        <w:t xml:space="preserve"> </w:t>
      </w:r>
      <w:r w:rsidRPr="000C0265">
        <w:rPr>
          <w:sz w:val="24"/>
          <w:szCs w:val="24"/>
          <w:lang w:val="en-US"/>
        </w:rPr>
        <w:t>(3) Xác định các lợi ích tài chính tiềm năng của các sáng kiến cải tiến tinh gọn</w:t>
      </w:r>
      <w:r>
        <w:rPr>
          <w:sz w:val="24"/>
          <w:szCs w:val="24"/>
          <w:lang w:val="en-US"/>
        </w:rPr>
        <w:t xml:space="preserve"> </w:t>
      </w:r>
      <w:r w:rsidRPr="000C0265">
        <w:rPr>
          <w:sz w:val="24"/>
          <w:szCs w:val="24"/>
          <w:lang w:val="en-US"/>
        </w:rPr>
        <w:t>và tập trung vào các chiến lược cần thiết để thực hiện những lợi ích đó.</w:t>
      </w:r>
      <w:r>
        <w:rPr>
          <w:sz w:val="24"/>
          <w:szCs w:val="24"/>
          <w:lang w:val="en-US"/>
        </w:rPr>
        <w:t xml:space="preserve"> </w:t>
      </w:r>
      <w:r w:rsidRPr="000C0265">
        <w:rPr>
          <w:sz w:val="24"/>
          <w:szCs w:val="24"/>
          <w:lang w:val="en-US"/>
        </w:rPr>
        <w:t>(4) Tăng cường sự cải tiến tinh gọn dài hạn bằng cách cung cấp thông tin và thống</w:t>
      </w:r>
      <w:r>
        <w:rPr>
          <w:sz w:val="24"/>
          <w:szCs w:val="24"/>
          <w:lang w:val="en-US"/>
        </w:rPr>
        <w:t xml:space="preserve"> </w:t>
      </w:r>
      <w:r w:rsidRPr="000C0265">
        <w:rPr>
          <w:sz w:val="24"/>
          <w:szCs w:val="24"/>
          <w:lang w:val="en-US"/>
        </w:rPr>
        <w:t>kê tập trung vào phục vụ cho QTTG.</w:t>
      </w:r>
      <w:r>
        <w:rPr>
          <w:sz w:val="24"/>
          <w:szCs w:val="24"/>
          <w:lang w:val="en-US"/>
        </w:rPr>
        <w:t xml:space="preserve"> </w:t>
      </w:r>
      <w:r w:rsidRPr="000C0265">
        <w:rPr>
          <w:sz w:val="24"/>
          <w:szCs w:val="24"/>
          <w:lang w:val="en-US"/>
        </w:rPr>
        <w:t>(5) Thêm giá trị khách hàng trực tiếp bằng cách kết nối các thước đo hiệu suất</w:t>
      </w:r>
      <w:r>
        <w:rPr>
          <w:sz w:val="24"/>
          <w:szCs w:val="24"/>
          <w:lang w:val="en-US"/>
        </w:rPr>
        <w:t xml:space="preserve"> </w:t>
      </w:r>
      <w:r w:rsidRPr="000C0265">
        <w:rPr>
          <w:sz w:val="24"/>
          <w:szCs w:val="24"/>
          <w:lang w:val="en-US"/>
        </w:rPr>
        <w:t>với các nguồn tạo ra giá trị và thúc đẩy các thay đổi để tối đa hóa giá trị này.</w:t>
      </w:r>
      <w:r w:rsidR="00560DBC">
        <w:rPr>
          <w:sz w:val="24"/>
          <w:szCs w:val="24"/>
          <w:lang w:val="en-US"/>
        </w:rPr>
        <w:t xml:space="preserve"> </w:t>
      </w:r>
      <w:r w:rsidR="00560DBC" w:rsidRPr="00560DBC">
        <w:rPr>
          <w:sz w:val="24"/>
          <w:szCs w:val="24"/>
          <w:lang w:val="en-US"/>
        </w:rPr>
        <w:t>Kế toán tinh gọn cũng giúp tăng giá trị cho khách hàng, tối đa hóa dòng tiền của công ty và lợi ích của cổ đông và chủ sở hữu.</w:t>
      </w:r>
    </w:p>
    <w:p w14:paraId="0771057E" w14:textId="16D150AB" w:rsidR="005A4BE8" w:rsidRDefault="000C0265" w:rsidP="000C0265">
      <w:pPr>
        <w:spacing w:before="30" w:line="288" w:lineRule="auto"/>
        <w:ind w:firstLine="720"/>
        <w:jc w:val="both"/>
        <w:rPr>
          <w:sz w:val="24"/>
          <w:szCs w:val="24"/>
          <w:lang w:val="en-US"/>
        </w:rPr>
      </w:pPr>
      <w:r w:rsidRPr="000C0265">
        <w:rPr>
          <w:sz w:val="24"/>
          <w:szCs w:val="24"/>
          <w:lang w:val="en-US"/>
        </w:rPr>
        <w:t xml:space="preserve">Như vậy, để đáp ứng nhu cầu thông tin cho DN áp dụng </w:t>
      </w:r>
      <w:r>
        <w:rPr>
          <w:sz w:val="24"/>
          <w:szCs w:val="24"/>
          <w:lang w:val="en-US"/>
        </w:rPr>
        <w:t>quản trị tinh gọn</w:t>
      </w:r>
      <w:r w:rsidRPr="000C0265">
        <w:rPr>
          <w:sz w:val="24"/>
          <w:szCs w:val="24"/>
          <w:lang w:val="en-US"/>
        </w:rPr>
        <w:t xml:space="preserve"> thì hệ thống kế</w:t>
      </w:r>
      <w:r>
        <w:rPr>
          <w:sz w:val="24"/>
          <w:szCs w:val="24"/>
          <w:lang w:val="en-US"/>
        </w:rPr>
        <w:t xml:space="preserve"> </w:t>
      </w:r>
      <w:r w:rsidRPr="000C0265">
        <w:rPr>
          <w:sz w:val="24"/>
          <w:szCs w:val="24"/>
          <w:lang w:val="en-US"/>
        </w:rPr>
        <w:t xml:space="preserve">toán quản trị cần có sự thay đổi. </w:t>
      </w:r>
      <w:r>
        <w:rPr>
          <w:sz w:val="24"/>
          <w:szCs w:val="24"/>
          <w:lang w:val="en-US"/>
        </w:rPr>
        <w:t>Quản trị tinh gọn</w:t>
      </w:r>
      <w:r w:rsidRPr="000C0265">
        <w:rPr>
          <w:sz w:val="24"/>
          <w:szCs w:val="24"/>
          <w:lang w:val="en-US"/>
        </w:rPr>
        <w:t xml:space="preserve"> không thể duy trì được lâu nếu không có sự thay</w:t>
      </w:r>
      <w:r>
        <w:rPr>
          <w:sz w:val="24"/>
          <w:szCs w:val="24"/>
          <w:lang w:val="en-US"/>
        </w:rPr>
        <w:t xml:space="preserve"> </w:t>
      </w:r>
      <w:r w:rsidRPr="000C0265">
        <w:rPr>
          <w:sz w:val="24"/>
          <w:szCs w:val="24"/>
          <w:lang w:val="en-US"/>
        </w:rPr>
        <w:t>đổi đáng kể trong của hệ thống kế toán. Một thay thế phù hợp cho kế toán quản trị truyền</w:t>
      </w:r>
      <w:r>
        <w:rPr>
          <w:sz w:val="24"/>
          <w:szCs w:val="24"/>
          <w:lang w:val="en-US"/>
        </w:rPr>
        <w:t xml:space="preserve"> </w:t>
      </w:r>
      <w:r w:rsidRPr="000C0265">
        <w:rPr>
          <w:sz w:val="24"/>
          <w:szCs w:val="24"/>
          <w:lang w:val="en-US"/>
        </w:rPr>
        <w:t>thống chính là KTTG</w:t>
      </w:r>
      <w:r w:rsidR="005A4BE8" w:rsidRPr="005A4BE8">
        <w:rPr>
          <w:sz w:val="24"/>
          <w:szCs w:val="24"/>
          <w:lang w:val="en-US"/>
        </w:rPr>
        <w:t xml:space="preserve">. </w:t>
      </w:r>
    </w:p>
    <w:p w14:paraId="127FC737" w14:textId="05521713" w:rsidR="00560DBC" w:rsidRDefault="00560DBC" w:rsidP="000C0265">
      <w:pPr>
        <w:spacing w:before="30" w:line="288" w:lineRule="auto"/>
        <w:ind w:firstLine="720"/>
        <w:jc w:val="both"/>
        <w:rPr>
          <w:sz w:val="24"/>
          <w:szCs w:val="24"/>
          <w:lang w:val="en-US"/>
        </w:rPr>
      </w:pPr>
      <w:r>
        <w:rPr>
          <w:sz w:val="24"/>
          <w:szCs w:val="24"/>
          <w:lang w:val="en-US"/>
        </w:rPr>
        <w:t>K</w:t>
      </w:r>
      <w:r w:rsidRPr="00560DBC">
        <w:rPr>
          <w:sz w:val="24"/>
          <w:szCs w:val="24"/>
          <w:lang w:val="en-US"/>
        </w:rPr>
        <w:t>ế toán tinh gọn, như một phương pháp tiếp cận nhất quán, cùng với tư duy tinh gọn của các nhà quản lý, cung cấp thông tin đáng tin cậy, chính xác và kịp thời cho việc ra quyết định và quản lý, và việc triển khai cả hai yếu tố này sẽ rất cần thiết để triển khai sản xuất tinh gọn như một phương pháp quản lý chiến lược (Nikoomaram &amp; Mohammadi, 2008).</w:t>
      </w:r>
    </w:p>
    <w:p w14:paraId="49508836" w14:textId="280E568D" w:rsidR="001C2F88" w:rsidRDefault="001C2F88" w:rsidP="000C0265">
      <w:pPr>
        <w:spacing w:before="30" w:line="288" w:lineRule="auto"/>
        <w:ind w:firstLine="720"/>
        <w:jc w:val="both"/>
        <w:rPr>
          <w:sz w:val="24"/>
          <w:szCs w:val="24"/>
          <w:lang w:val="en-US"/>
        </w:rPr>
      </w:pPr>
      <w:r w:rsidRPr="001C2F88">
        <w:rPr>
          <w:sz w:val="24"/>
          <w:szCs w:val="24"/>
          <w:lang w:val="en-US"/>
        </w:rPr>
        <w:t xml:space="preserve">Mục đích của kế toán tinh gọn là hỗ trợ doanh nghiệp tinh gọn như một chiến lược kinh doanh. Kế toán tinh gọn hướng đến việc chuyển đổi từ các phương pháp kế toán truyền thống sang một hệ thống đo lường và thúc đẩy các hoạt động kinh doanh xuất sắc trong doanh nghiệp tinh gọn. Tuy nhiên, việc triển khai kế toán tinh gọn, cũng như bất kỳ phương pháp tiếp cận mới nào khác, cũng gặp phải nhiều </w:t>
      </w:r>
      <w:r>
        <w:rPr>
          <w:sz w:val="24"/>
          <w:szCs w:val="24"/>
          <w:lang w:val="en-US"/>
        </w:rPr>
        <w:t>rào cản.</w:t>
      </w:r>
    </w:p>
    <w:p w14:paraId="30191E26" w14:textId="02C3650A" w:rsidR="001C2F88" w:rsidRPr="007041D9" w:rsidRDefault="001C2F88" w:rsidP="007041D9">
      <w:pPr>
        <w:spacing w:before="30" w:line="288" w:lineRule="auto"/>
        <w:jc w:val="center"/>
        <w:rPr>
          <w:b/>
          <w:bCs/>
          <w:sz w:val="24"/>
          <w:szCs w:val="24"/>
          <w:lang w:val="en-US"/>
        </w:rPr>
      </w:pPr>
      <w:r w:rsidRPr="007041D9">
        <w:rPr>
          <w:b/>
          <w:bCs/>
          <w:sz w:val="24"/>
          <w:szCs w:val="24"/>
          <w:lang w:val="en-US"/>
        </w:rPr>
        <w:t>Bảng 1. Rào cản đối với việc triển khai kế toán tinh gọn</w:t>
      </w:r>
    </w:p>
    <w:tbl>
      <w:tblPr>
        <w:tblStyle w:val="TableGrid"/>
        <w:tblW w:w="0" w:type="auto"/>
        <w:tblLook w:val="04A0" w:firstRow="1" w:lastRow="0" w:firstColumn="1" w:lastColumn="0" w:noHBand="0" w:noVBand="1"/>
      </w:tblPr>
      <w:tblGrid>
        <w:gridCol w:w="5665"/>
        <w:gridCol w:w="4247"/>
      </w:tblGrid>
      <w:tr w:rsidR="001C2F88" w14:paraId="7BD77C16" w14:textId="77777777" w:rsidTr="007041D9">
        <w:tc>
          <w:tcPr>
            <w:tcW w:w="5665" w:type="dxa"/>
          </w:tcPr>
          <w:p w14:paraId="732B8352" w14:textId="33097CF8" w:rsidR="001C2F88" w:rsidRPr="001C2F88" w:rsidRDefault="001C2F88" w:rsidP="001C2F88">
            <w:pPr>
              <w:spacing w:before="30" w:line="288" w:lineRule="auto"/>
              <w:jc w:val="center"/>
              <w:rPr>
                <w:b/>
                <w:bCs/>
                <w:sz w:val="24"/>
                <w:szCs w:val="24"/>
                <w:lang w:val="en-US"/>
              </w:rPr>
            </w:pPr>
            <w:r w:rsidRPr="001C2F88">
              <w:rPr>
                <w:b/>
                <w:bCs/>
                <w:sz w:val="24"/>
                <w:szCs w:val="24"/>
                <w:lang w:val="en-US"/>
              </w:rPr>
              <w:t>Rào cản</w:t>
            </w:r>
          </w:p>
        </w:tc>
        <w:tc>
          <w:tcPr>
            <w:tcW w:w="4247" w:type="dxa"/>
          </w:tcPr>
          <w:p w14:paraId="6759D1EE" w14:textId="6D941776" w:rsidR="001C2F88" w:rsidRPr="001C2F88" w:rsidRDefault="001C2F88" w:rsidP="001C2F88">
            <w:pPr>
              <w:spacing w:before="30" w:line="288" w:lineRule="auto"/>
              <w:jc w:val="center"/>
              <w:rPr>
                <w:b/>
                <w:bCs/>
                <w:sz w:val="24"/>
                <w:szCs w:val="24"/>
                <w:lang w:val="en-US"/>
              </w:rPr>
            </w:pPr>
            <w:r w:rsidRPr="001C2F88">
              <w:rPr>
                <w:b/>
                <w:bCs/>
                <w:sz w:val="24"/>
                <w:szCs w:val="24"/>
                <w:lang w:val="en-US"/>
              </w:rPr>
              <w:t>Nguồn</w:t>
            </w:r>
          </w:p>
        </w:tc>
      </w:tr>
      <w:tr w:rsidR="001C2F88" w14:paraId="6B50770B" w14:textId="77777777" w:rsidTr="007041D9">
        <w:tc>
          <w:tcPr>
            <w:tcW w:w="5665" w:type="dxa"/>
          </w:tcPr>
          <w:p w14:paraId="14C05606" w14:textId="1A8BD402" w:rsidR="001C2F88" w:rsidRDefault="001C2F88" w:rsidP="001C2F88">
            <w:pPr>
              <w:spacing w:before="30" w:line="288" w:lineRule="auto"/>
              <w:jc w:val="both"/>
              <w:rPr>
                <w:sz w:val="24"/>
                <w:szCs w:val="24"/>
                <w:lang w:val="en-US"/>
              </w:rPr>
            </w:pPr>
            <w:r w:rsidRPr="008349BE">
              <w:rPr>
                <w:sz w:val="24"/>
                <w:szCs w:val="24"/>
                <w:lang w:val="en-US"/>
              </w:rPr>
              <w:t>Thiếu nhân viên kế toán</w:t>
            </w:r>
          </w:p>
        </w:tc>
        <w:tc>
          <w:tcPr>
            <w:tcW w:w="4247" w:type="dxa"/>
          </w:tcPr>
          <w:p w14:paraId="31B0EBBD" w14:textId="33238B55" w:rsidR="001C2F88" w:rsidRDefault="007041D9" w:rsidP="001C2F88">
            <w:pPr>
              <w:spacing w:before="30" w:line="288" w:lineRule="auto"/>
              <w:jc w:val="both"/>
              <w:rPr>
                <w:sz w:val="24"/>
                <w:szCs w:val="24"/>
                <w:lang w:val="en-US"/>
              </w:rPr>
            </w:pPr>
            <w:r w:rsidRPr="007041D9">
              <w:rPr>
                <w:sz w:val="24"/>
                <w:szCs w:val="24"/>
                <w:lang w:val="en-US"/>
              </w:rPr>
              <w:t>Grasso</w:t>
            </w:r>
            <w:r>
              <w:rPr>
                <w:sz w:val="24"/>
                <w:szCs w:val="24"/>
                <w:lang w:val="en-US"/>
              </w:rPr>
              <w:t xml:space="preserve"> (2012); </w:t>
            </w:r>
            <w:r w:rsidRPr="007041D9">
              <w:rPr>
                <w:sz w:val="24"/>
                <w:szCs w:val="24"/>
                <w:lang w:val="en-US"/>
              </w:rPr>
              <w:t>Timm</w:t>
            </w:r>
            <w:r>
              <w:rPr>
                <w:sz w:val="24"/>
                <w:szCs w:val="24"/>
                <w:lang w:val="en-US"/>
              </w:rPr>
              <w:t xml:space="preserve"> (2015)</w:t>
            </w:r>
          </w:p>
        </w:tc>
      </w:tr>
      <w:tr w:rsidR="001C2F88" w14:paraId="51DD4D9D" w14:textId="77777777" w:rsidTr="007041D9">
        <w:tc>
          <w:tcPr>
            <w:tcW w:w="5665" w:type="dxa"/>
          </w:tcPr>
          <w:p w14:paraId="08F3C27B" w14:textId="75B02FDB" w:rsidR="001C2F88" w:rsidRDefault="001C2F88" w:rsidP="001C2F88">
            <w:pPr>
              <w:spacing w:before="30" w:line="288" w:lineRule="auto"/>
              <w:jc w:val="both"/>
              <w:rPr>
                <w:sz w:val="24"/>
                <w:szCs w:val="24"/>
                <w:lang w:val="en-US"/>
              </w:rPr>
            </w:pPr>
            <w:r w:rsidRPr="008349BE">
              <w:rPr>
                <w:sz w:val="24"/>
                <w:szCs w:val="24"/>
                <w:lang w:val="en-US"/>
              </w:rPr>
              <w:t xml:space="preserve">Thiếu nguồn lực máy tính (phần mềm) đầy đủ </w:t>
            </w:r>
          </w:p>
        </w:tc>
        <w:tc>
          <w:tcPr>
            <w:tcW w:w="4247" w:type="dxa"/>
          </w:tcPr>
          <w:p w14:paraId="0A78A84D" w14:textId="5B07D689" w:rsidR="001C2F88" w:rsidRDefault="007041D9" w:rsidP="001C2F88">
            <w:pPr>
              <w:spacing w:before="30" w:line="288" w:lineRule="auto"/>
              <w:jc w:val="both"/>
              <w:rPr>
                <w:sz w:val="24"/>
                <w:szCs w:val="24"/>
                <w:lang w:val="en-US"/>
              </w:rPr>
            </w:pPr>
            <w:r w:rsidRPr="007041D9">
              <w:rPr>
                <w:sz w:val="24"/>
                <w:szCs w:val="24"/>
                <w:lang w:val="en-US"/>
              </w:rPr>
              <w:t>Appelbaum</w:t>
            </w:r>
            <w:r>
              <w:rPr>
                <w:sz w:val="24"/>
                <w:szCs w:val="24"/>
                <w:lang w:val="en-US"/>
              </w:rPr>
              <w:t xml:space="preserve"> và cộng sự (2017); </w:t>
            </w:r>
            <w:r w:rsidRPr="007041D9">
              <w:rPr>
                <w:sz w:val="24"/>
                <w:szCs w:val="24"/>
                <w:lang w:val="en-US"/>
              </w:rPr>
              <w:t>Moll</w:t>
            </w:r>
            <w:r>
              <w:rPr>
                <w:sz w:val="24"/>
                <w:szCs w:val="24"/>
                <w:lang w:val="en-US"/>
              </w:rPr>
              <w:t xml:space="preserve"> </w:t>
            </w:r>
            <w:r w:rsidRPr="007041D9">
              <w:rPr>
                <w:sz w:val="24"/>
                <w:szCs w:val="24"/>
                <w:lang w:val="en-US"/>
              </w:rPr>
              <w:t>&amp; Yigitbasioglu</w:t>
            </w:r>
            <w:r>
              <w:rPr>
                <w:sz w:val="24"/>
                <w:szCs w:val="24"/>
                <w:lang w:val="en-US"/>
              </w:rPr>
              <w:t xml:space="preserve"> (2019)</w:t>
            </w:r>
          </w:p>
        </w:tc>
      </w:tr>
      <w:tr w:rsidR="001C2F88" w14:paraId="570894F2" w14:textId="77777777" w:rsidTr="007041D9">
        <w:tc>
          <w:tcPr>
            <w:tcW w:w="5665" w:type="dxa"/>
          </w:tcPr>
          <w:p w14:paraId="31F7705B" w14:textId="7BFFAF55" w:rsidR="001C2F88" w:rsidRDefault="001C2F88" w:rsidP="001C2F88">
            <w:pPr>
              <w:spacing w:before="30" w:line="288" w:lineRule="auto"/>
              <w:jc w:val="both"/>
              <w:rPr>
                <w:sz w:val="24"/>
                <w:szCs w:val="24"/>
                <w:lang w:val="en-US"/>
              </w:rPr>
            </w:pPr>
            <w:r w:rsidRPr="008349BE">
              <w:rPr>
                <w:sz w:val="24"/>
                <w:szCs w:val="24"/>
                <w:lang w:val="en-US"/>
              </w:rPr>
              <w:t xml:space="preserve">Sự trì trệ của ban quản lý </w:t>
            </w:r>
          </w:p>
        </w:tc>
        <w:tc>
          <w:tcPr>
            <w:tcW w:w="4247" w:type="dxa"/>
          </w:tcPr>
          <w:p w14:paraId="7C9E113F" w14:textId="50955547" w:rsidR="001C2F88" w:rsidRDefault="007041D9" w:rsidP="001C2F88">
            <w:pPr>
              <w:spacing w:before="30" w:line="288" w:lineRule="auto"/>
              <w:jc w:val="both"/>
              <w:rPr>
                <w:sz w:val="24"/>
                <w:szCs w:val="24"/>
                <w:lang w:val="en-US"/>
              </w:rPr>
            </w:pPr>
            <w:r w:rsidRPr="007041D9">
              <w:rPr>
                <w:sz w:val="24"/>
                <w:szCs w:val="24"/>
                <w:lang w:val="en-US"/>
              </w:rPr>
              <w:t>Buckley</w:t>
            </w:r>
            <w:r>
              <w:rPr>
                <w:sz w:val="24"/>
                <w:szCs w:val="24"/>
                <w:lang w:val="en-US"/>
              </w:rPr>
              <w:t xml:space="preserve"> và cộng sự (2017)</w:t>
            </w:r>
          </w:p>
        </w:tc>
      </w:tr>
      <w:tr w:rsidR="001C2F88" w14:paraId="01B77B35" w14:textId="77777777" w:rsidTr="007041D9">
        <w:tc>
          <w:tcPr>
            <w:tcW w:w="5665" w:type="dxa"/>
          </w:tcPr>
          <w:p w14:paraId="7F46F9E0" w14:textId="47895E9E" w:rsidR="001C2F88" w:rsidRDefault="001C2F88" w:rsidP="001C2F88">
            <w:pPr>
              <w:spacing w:before="30" w:line="288" w:lineRule="auto"/>
              <w:jc w:val="both"/>
              <w:rPr>
                <w:sz w:val="24"/>
                <w:szCs w:val="24"/>
                <w:lang w:val="en-US"/>
              </w:rPr>
            </w:pPr>
            <w:r w:rsidRPr="008349BE">
              <w:rPr>
                <w:sz w:val="24"/>
                <w:szCs w:val="24"/>
                <w:lang w:val="en-US"/>
              </w:rPr>
              <w:t>Giao tiếp kém giữa các bộ phận vận hành, tài chính và kế toán</w:t>
            </w:r>
          </w:p>
        </w:tc>
        <w:tc>
          <w:tcPr>
            <w:tcW w:w="4247" w:type="dxa"/>
          </w:tcPr>
          <w:p w14:paraId="60ED1124" w14:textId="0F0A57D5" w:rsidR="001C2F88" w:rsidRDefault="007041D9" w:rsidP="001C2F88">
            <w:pPr>
              <w:spacing w:before="30" w:line="288" w:lineRule="auto"/>
              <w:jc w:val="both"/>
              <w:rPr>
                <w:sz w:val="24"/>
                <w:szCs w:val="24"/>
                <w:lang w:val="en-US"/>
              </w:rPr>
            </w:pPr>
            <w:r w:rsidRPr="007041D9">
              <w:rPr>
                <w:sz w:val="24"/>
                <w:szCs w:val="24"/>
                <w:lang w:val="en-US"/>
              </w:rPr>
              <w:t>Grasso</w:t>
            </w:r>
            <w:r>
              <w:rPr>
                <w:sz w:val="24"/>
                <w:szCs w:val="24"/>
                <w:lang w:val="en-US"/>
              </w:rPr>
              <w:t xml:space="preserve"> (2012); </w:t>
            </w:r>
            <w:r w:rsidRPr="007041D9">
              <w:rPr>
                <w:sz w:val="24"/>
                <w:szCs w:val="24"/>
                <w:lang w:val="en-US"/>
              </w:rPr>
              <w:t>McVay</w:t>
            </w:r>
            <w:r>
              <w:rPr>
                <w:sz w:val="24"/>
                <w:szCs w:val="24"/>
                <w:lang w:val="en-US"/>
              </w:rPr>
              <w:t xml:space="preserve"> và cộng sự (2013)</w:t>
            </w:r>
            <w:r>
              <w:rPr>
                <w:sz w:val="24"/>
                <w:szCs w:val="24"/>
                <w:lang w:val="en-US"/>
              </w:rPr>
              <w:t xml:space="preserve">; </w:t>
            </w:r>
            <w:r w:rsidRPr="007041D9">
              <w:rPr>
                <w:sz w:val="24"/>
                <w:szCs w:val="24"/>
                <w:lang w:val="en-US"/>
              </w:rPr>
              <w:t>Mathiyazhagan</w:t>
            </w:r>
            <w:r>
              <w:rPr>
                <w:sz w:val="24"/>
                <w:szCs w:val="24"/>
                <w:lang w:val="en-US"/>
              </w:rPr>
              <w:t xml:space="preserve"> và cộng sự (2013)</w:t>
            </w:r>
          </w:p>
        </w:tc>
      </w:tr>
      <w:tr w:rsidR="001C2F88" w14:paraId="4292EF8F" w14:textId="77777777" w:rsidTr="007041D9">
        <w:tc>
          <w:tcPr>
            <w:tcW w:w="5665" w:type="dxa"/>
          </w:tcPr>
          <w:p w14:paraId="76FE4DA8" w14:textId="6686D93A" w:rsidR="001C2F88" w:rsidRDefault="001C2F88" w:rsidP="001C2F88">
            <w:pPr>
              <w:spacing w:before="30" w:line="288" w:lineRule="auto"/>
              <w:jc w:val="both"/>
              <w:rPr>
                <w:sz w:val="24"/>
                <w:szCs w:val="24"/>
                <w:lang w:val="en-US"/>
              </w:rPr>
            </w:pPr>
            <w:r w:rsidRPr="008349BE">
              <w:rPr>
                <w:sz w:val="24"/>
                <w:szCs w:val="24"/>
                <w:lang w:val="en-US"/>
              </w:rPr>
              <w:t>Thiếu kiến ​​thức và năng lực phù hợp của bộ phận chịu trách nhiệm về kế toán quản trị</w:t>
            </w:r>
          </w:p>
        </w:tc>
        <w:tc>
          <w:tcPr>
            <w:tcW w:w="4247" w:type="dxa"/>
          </w:tcPr>
          <w:p w14:paraId="14F62916" w14:textId="0B0D4EA4" w:rsidR="001C2F88" w:rsidRDefault="007041D9" w:rsidP="001C2F88">
            <w:pPr>
              <w:spacing w:before="30" w:line="288" w:lineRule="auto"/>
              <w:jc w:val="both"/>
              <w:rPr>
                <w:sz w:val="24"/>
                <w:szCs w:val="24"/>
                <w:lang w:val="en-US"/>
              </w:rPr>
            </w:pPr>
            <w:r w:rsidRPr="007041D9">
              <w:rPr>
                <w:sz w:val="24"/>
                <w:szCs w:val="24"/>
                <w:lang w:val="en-US"/>
              </w:rPr>
              <w:t>Grasso</w:t>
            </w:r>
            <w:r>
              <w:rPr>
                <w:sz w:val="24"/>
                <w:szCs w:val="24"/>
                <w:lang w:val="en-US"/>
              </w:rPr>
              <w:t xml:space="preserve"> (2012</w:t>
            </w:r>
            <w:r>
              <w:rPr>
                <w:sz w:val="24"/>
                <w:szCs w:val="24"/>
                <w:lang w:val="en-US"/>
              </w:rPr>
              <w:t xml:space="preserve">); </w:t>
            </w:r>
            <w:r w:rsidRPr="007041D9">
              <w:rPr>
                <w:sz w:val="24"/>
                <w:szCs w:val="24"/>
                <w:lang w:val="en-US"/>
              </w:rPr>
              <w:t>McVay</w:t>
            </w:r>
            <w:r>
              <w:rPr>
                <w:sz w:val="24"/>
                <w:szCs w:val="24"/>
                <w:lang w:val="en-US"/>
              </w:rPr>
              <w:t xml:space="preserve"> và cộng sự (2013)</w:t>
            </w:r>
          </w:p>
        </w:tc>
      </w:tr>
      <w:tr w:rsidR="001C2F88" w14:paraId="5794EF5B" w14:textId="77777777" w:rsidTr="007041D9">
        <w:tc>
          <w:tcPr>
            <w:tcW w:w="5665" w:type="dxa"/>
          </w:tcPr>
          <w:p w14:paraId="3B0ADA42" w14:textId="153DBA51" w:rsidR="001C2F88" w:rsidRDefault="001C2F88" w:rsidP="001C2F88">
            <w:pPr>
              <w:spacing w:before="30" w:line="288" w:lineRule="auto"/>
              <w:jc w:val="both"/>
              <w:rPr>
                <w:sz w:val="24"/>
                <w:szCs w:val="24"/>
                <w:lang w:val="en-US"/>
              </w:rPr>
            </w:pPr>
            <w:r w:rsidRPr="008349BE">
              <w:rPr>
                <w:sz w:val="24"/>
                <w:szCs w:val="24"/>
                <w:lang w:val="en-US"/>
              </w:rPr>
              <w:t xml:space="preserve">Nhu cầu đáp ứng các yêu cầu theo luật định </w:t>
            </w:r>
          </w:p>
        </w:tc>
        <w:tc>
          <w:tcPr>
            <w:tcW w:w="4247" w:type="dxa"/>
          </w:tcPr>
          <w:p w14:paraId="2A63F403" w14:textId="160A4B22" w:rsidR="001C2F88" w:rsidRDefault="007041D9" w:rsidP="001C2F88">
            <w:pPr>
              <w:spacing w:before="30" w:line="288" w:lineRule="auto"/>
              <w:jc w:val="both"/>
              <w:rPr>
                <w:sz w:val="24"/>
                <w:szCs w:val="24"/>
                <w:lang w:val="en-US"/>
              </w:rPr>
            </w:pPr>
            <w:r w:rsidRPr="007041D9">
              <w:rPr>
                <w:sz w:val="24"/>
                <w:szCs w:val="24"/>
                <w:lang w:val="en-US"/>
              </w:rPr>
              <w:t>Timm</w:t>
            </w:r>
            <w:r>
              <w:rPr>
                <w:sz w:val="24"/>
                <w:szCs w:val="24"/>
                <w:lang w:val="en-US"/>
              </w:rPr>
              <w:t xml:space="preserve"> (2015)</w:t>
            </w:r>
            <w:r>
              <w:rPr>
                <w:sz w:val="24"/>
                <w:szCs w:val="24"/>
                <w:lang w:val="en-US"/>
              </w:rPr>
              <w:t xml:space="preserve">; </w:t>
            </w:r>
            <w:r w:rsidRPr="007041D9">
              <w:rPr>
                <w:sz w:val="24"/>
                <w:szCs w:val="24"/>
                <w:lang w:val="en-US"/>
              </w:rPr>
              <w:t>Al</w:t>
            </w:r>
            <w:r>
              <w:rPr>
                <w:sz w:val="24"/>
                <w:szCs w:val="24"/>
                <w:lang w:val="en-US"/>
              </w:rPr>
              <w:t>i và cộng sự (2021)</w:t>
            </w:r>
          </w:p>
        </w:tc>
      </w:tr>
      <w:tr w:rsidR="001C2F88" w14:paraId="7F661362" w14:textId="77777777" w:rsidTr="007041D9">
        <w:tc>
          <w:tcPr>
            <w:tcW w:w="5665" w:type="dxa"/>
          </w:tcPr>
          <w:p w14:paraId="5D97A331" w14:textId="66BA5437" w:rsidR="001C2F88" w:rsidRDefault="001C2F88" w:rsidP="001C2F88">
            <w:pPr>
              <w:spacing w:before="30" w:line="288" w:lineRule="auto"/>
              <w:jc w:val="both"/>
              <w:rPr>
                <w:sz w:val="24"/>
                <w:szCs w:val="24"/>
                <w:lang w:val="en-US"/>
              </w:rPr>
            </w:pPr>
            <w:r w:rsidRPr="008349BE">
              <w:rPr>
                <w:sz w:val="24"/>
                <w:szCs w:val="24"/>
                <w:lang w:val="en-US"/>
              </w:rPr>
              <w:t>Phụ thuộc vào công ty mẹ</w:t>
            </w:r>
          </w:p>
        </w:tc>
        <w:tc>
          <w:tcPr>
            <w:tcW w:w="4247" w:type="dxa"/>
          </w:tcPr>
          <w:p w14:paraId="1D5C77A1" w14:textId="262D1AD0" w:rsidR="001C2F88" w:rsidRDefault="007041D9" w:rsidP="001C2F88">
            <w:pPr>
              <w:spacing w:before="30" w:line="288" w:lineRule="auto"/>
              <w:jc w:val="both"/>
              <w:rPr>
                <w:sz w:val="24"/>
                <w:szCs w:val="24"/>
                <w:lang w:val="en-US"/>
              </w:rPr>
            </w:pPr>
            <w:r w:rsidRPr="007041D9">
              <w:rPr>
                <w:sz w:val="24"/>
                <w:szCs w:val="24"/>
                <w:lang w:val="en-US"/>
              </w:rPr>
              <w:t>Yazdifar &amp; Tsamenyi</w:t>
            </w:r>
            <w:r>
              <w:rPr>
                <w:sz w:val="24"/>
                <w:szCs w:val="24"/>
                <w:lang w:val="en-US"/>
              </w:rPr>
              <w:t xml:space="preserve"> (2005)</w:t>
            </w:r>
          </w:p>
        </w:tc>
      </w:tr>
      <w:tr w:rsidR="001C2F88" w14:paraId="22F56F4B" w14:textId="77777777" w:rsidTr="007041D9">
        <w:tc>
          <w:tcPr>
            <w:tcW w:w="5665" w:type="dxa"/>
          </w:tcPr>
          <w:p w14:paraId="684125FF" w14:textId="00DA1D6B" w:rsidR="001C2F88" w:rsidRDefault="007041D9" w:rsidP="001C2F88">
            <w:pPr>
              <w:spacing w:before="30" w:line="288" w:lineRule="auto"/>
              <w:jc w:val="both"/>
              <w:rPr>
                <w:sz w:val="24"/>
                <w:szCs w:val="24"/>
                <w:lang w:val="en-US"/>
              </w:rPr>
            </w:pPr>
            <w:r>
              <w:rPr>
                <w:sz w:val="24"/>
                <w:szCs w:val="24"/>
                <w:lang w:val="en-US"/>
              </w:rPr>
              <w:t>Sự k</w:t>
            </w:r>
            <w:r w:rsidR="001C2F88" w:rsidRPr="008349BE">
              <w:rPr>
                <w:sz w:val="24"/>
                <w:szCs w:val="24"/>
                <w:lang w:val="en-US"/>
              </w:rPr>
              <w:t>háng cự thay đổi</w:t>
            </w:r>
          </w:p>
        </w:tc>
        <w:tc>
          <w:tcPr>
            <w:tcW w:w="4247" w:type="dxa"/>
          </w:tcPr>
          <w:p w14:paraId="265B987B" w14:textId="3747225A" w:rsidR="001C2F88" w:rsidRDefault="007041D9" w:rsidP="001C2F88">
            <w:pPr>
              <w:spacing w:before="30" w:line="288" w:lineRule="auto"/>
              <w:jc w:val="both"/>
              <w:rPr>
                <w:sz w:val="24"/>
                <w:szCs w:val="24"/>
                <w:lang w:val="en-US"/>
              </w:rPr>
            </w:pPr>
            <w:r w:rsidRPr="007041D9">
              <w:rPr>
                <w:sz w:val="24"/>
                <w:szCs w:val="24"/>
                <w:lang w:val="en-US"/>
              </w:rPr>
              <w:t>Alves</w:t>
            </w:r>
            <w:r>
              <w:rPr>
                <w:sz w:val="24"/>
                <w:szCs w:val="24"/>
                <w:lang w:val="en-US"/>
              </w:rPr>
              <w:t xml:space="preserve"> và cộng sự (2022)</w:t>
            </w:r>
          </w:p>
        </w:tc>
      </w:tr>
    </w:tbl>
    <w:p w14:paraId="76203B9D" w14:textId="69F93CE8" w:rsidR="001C2F88" w:rsidRPr="007041D9" w:rsidRDefault="007041D9" w:rsidP="007041D9">
      <w:pPr>
        <w:spacing w:before="30" w:line="288" w:lineRule="auto"/>
        <w:jc w:val="right"/>
        <w:rPr>
          <w:i/>
          <w:iCs/>
          <w:sz w:val="24"/>
          <w:szCs w:val="24"/>
          <w:lang w:val="en-US"/>
        </w:rPr>
      </w:pPr>
      <w:r w:rsidRPr="007041D9">
        <w:rPr>
          <w:i/>
          <w:iCs/>
          <w:sz w:val="24"/>
          <w:szCs w:val="24"/>
          <w:lang w:val="en-US"/>
        </w:rPr>
        <w:t xml:space="preserve">Nguồn: Tổng hợp từ nghiên cứu của </w:t>
      </w:r>
      <w:r w:rsidRPr="007041D9">
        <w:rPr>
          <w:i/>
          <w:iCs/>
          <w:sz w:val="24"/>
          <w:szCs w:val="24"/>
          <w:lang w:val="en-US"/>
        </w:rPr>
        <w:t>Stroncze (2025)</w:t>
      </w:r>
    </w:p>
    <w:p w14:paraId="0A884E00" w14:textId="77777777" w:rsidR="007041D9" w:rsidRDefault="007041D9" w:rsidP="00AF25E9">
      <w:pPr>
        <w:spacing w:before="30" w:line="288" w:lineRule="auto"/>
        <w:jc w:val="both"/>
        <w:rPr>
          <w:b/>
          <w:bCs/>
          <w:sz w:val="24"/>
          <w:szCs w:val="24"/>
          <w:lang w:val="en-US"/>
        </w:rPr>
      </w:pPr>
    </w:p>
    <w:p w14:paraId="6666B97E" w14:textId="19A28300" w:rsidR="003A4BD9" w:rsidRPr="003C187E" w:rsidRDefault="003A4BD9" w:rsidP="00AF25E9">
      <w:pPr>
        <w:spacing w:before="30" w:line="288" w:lineRule="auto"/>
        <w:jc w:val="both"/>
        <w:rPr>
          <w:b/>
          <w:bCs/>
          <w:sz w:val="24"/>
          <w:szCs w:val="24"/>
          <w:lang w:val="en-US"/>
        </w:rPr>
      </w:pPr>
      <w:r w:rsidRPr="003C187E">
        <w:rPr>
          <w:b/>
          <w:bCs/>
          <w:sz w:val="24"/>
          <w:szCs w:val="24"/>
          <w:lang w:val="en-US"/>
        </w:rPr>
        <w:t>4. Kết luận</w:t>
      </w:r>
    </w:p>
    <w:p w14:paraId="70E5CBE5" w14:textId="1E19D8EF" w:rsidR="003A4BD9" w:rsidRPr="003C187E" w:rsidRDefault="000F5148" w:rsidP="00AF25E9">
      <w:pPr>
        <w:spacing w:before="30" w:line="288" w:lineRule="auto"/>
        <w:ind w:firstLine="720"/>
        <w:jc w:val="both"/>
        <w:rPr>
          <w:sz w:val="24"/>
          <w:szCs w:val="24"/>
          <w:lang w:val="en-US"/>
        </w:rPr>
      </w:pPr>
      <w:r>
        <w:rPr>
          <w:sz w:val="24"/>
          <w:szCs w:val="24"/>
          <w:lang w:val="en-US"/>
        </w:rPr>
        <w:t>Mặc dù kế toán tinh gọn còn</w:t>
      </w:r>
      <w:r w:rsidRPr="000F5148">
        <w:rPr>
          <w:sz w:val="24"/>
          <w:szCs w:val="24"/>
          <w:lang w:val="en-US"/>
        </w:rPr>
        <w:t xml:space="preserve"> khá mới, song </w:t>
      </w:r>
      <w:r>
        <w:rPr>
          <w:sz w:val="24"/>
          <w:szCs w:val="24"/>
          <w:lang w:val="en-US"/>
        </w:rPr>
        <w:t>nó đã</w:t>
      </w:r>
      <w:r w:rsidRPr="000F5148">
        <w:rPr>
          <w:sz w:val="24"/>
          <w:szCs w:val="24"/>
          <w:lang w:val="en-US"/>
        </w:rPr>
        <w:t xml:space="preserve"> cung cấp thông tin một cách chính xác, kịp thời và có thể hiểu được một cách dễ dàng nhất để cải tiến quá trình chuyển đổi và truyền thông giữa các bộ phận trong DN. Hơn thế nữa, mô hình này ứng dụng công cụ quản lý dòng chảy giá trị nhằm loại bỏ những lãng phí từ quy trình kế toán thông thường, nhưng bản thân nó vẫn đáp ứng đúng yêu cầu về mặt nguyên tắc kế toán chung, quy định về báo cáo tài chính cũng như báo cáo nội bộ đơn vị</w:t>
      </w:r>
      <w:r w:rsidR="00494C93" w:rsidRPr="00494C93">
        <w:rPr>
          <w:sz w:val="24"/>
          <w:szCs w:val="24"/>
          <w:lang w:val="en-US"/>
        </w:rPr>
        <w:t>.</w:t>
      </w:r>
      <w:r w:rsidRPr="000F5148">
        <w:t xml:space="preserve"> </w:t>
      </w:r>
      <w:r w:rsidRPr="000F5148">
        <w:rPr>
          <w:sz w:val="24"/>
          <w:szCs w:val="24"/>
          <w:lang w:val="en-US"/>
        </w:rPr>
        <w:t xml:space="preserve">Tuy nhiên, việc áp dụng </w:t>
      </w:r>
      <w:r>
        <w:rPr>
          <w:sz w:val="24"/>
          <w:szCs w:val="24"/>
          <w:lang w:val="en-US"/>
        </w:rPr>
        <w:t>kế toán</w:t>
      </w:r>
      <w:r w:rsidRPr="000F5148">
        <w:rPr>
          <w:sz w:val="24"/>
          <w:szCs w:val="24"/>
          <w:lang w:val="en-US"/>
        </w:rPr>
        <w:t xml:space="preserve"> tinh gọn tại các doanh nghiệp nói chung vẫn còn nhiều </w:t>
      </w:r>
      <w:r>
        <w:rPr>
          <w:sz w:val="24"/>
          <w:szCs w:val="24"/>
          <w:lang w:val="en-US"/>
        </w:rPr>
        <w:t>rào cản cần khắc phục.</w:t>
      </w:r>
    </w:p>
    <w:bookmarkEnd w:id="0"/>
    <w:p w14:paraId="25FBAEE4" w14:textId="0D64F960" w:rsidR="003C187E" w:rsidRPr="003C187E" w:rsidRDefault="003C187E" w:rsidP="00AF25E9">
      <w:pPr>
        <w:spacing w:before="30" w:line="288" w:lineRule="auto"/>
        <w:ind w:firstLine="285"/>
        <w:jc w:val="both"/>
        <w:rPr>
          <w:b/>
          <w:bCs/>
          <w:sz w:val="24"/>
          <w:szCs w:val="24"/>
        </w:rPr>
      </w:pPr>
      <w:r w:rsidRPr="003C187E">
        <w:rPr>
          <w:b/>
          <w:bCs/>
          <w:sz w:val="24"/>
          <w:szCs w:val="24"/>
        </w:rPr>
        <w:t xml:space="preserve">Tài liệu tham khảo </w:t>
      </w:r>
    </w:p>
    <w:p w14:paraId="0AB33D72" w14:textId="77777777" w:rsid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Ali, S. B., Khan, Z. S., Shah, Z. A., &amp; Ahmad, M. U. H. A. M. M. A. D. (2021). Lean accounting system: Importance and successful implementation. </w:t>
      </w:r>
      <w:r w:rsidRPr="000F5148">
        <w:rPr>
          <w:i/>
          <w:iCs/>
          <w:color w:val="222222"/>
          <w:sz w:val="24"/>
          <w:szCs w:val="24"/>
          <w:shd w:val="clear" w:color="auto" w:fill="FFFFFF"/>
        </w:rPr>
        <w:t>Journal of Contemporary Issues in Business and Government| Vol</w:t>
      </w:r>
      <w:r w:rsidRPr="000F5148">
        <w:rPr>
          <w:color w:val="222222"/>
          <w:sz w:val="24"/>
          <w:szCs w:val="24"/>
          <w:shd w:val="clear" w:color="auto" w:fill="FFFFFF"/>
        </w:rPr>
        <w:t>, </w:t>
      </w:r>
      <w:r w:rsidRPr="000F5148">
        <w:rPr>
          <w:i/>
          <w:iCs/>
          <w:color w:val="222222"/>
          <w:sz w:val="24"/>
          <w:szCs w:val="24"/>
          <w:shd w:val="clear" w:color="auto" w:fill="FFFFFF"/>
        </w:rPr>
        <w:t>27</w:t>
      </w:r>
      <w:r w:rsidRPr="000F5148">
        <w:rPr>
          <w:color w:val="222222"/>
          <w:sz w:val="24"/>
          <w:szCs w:val="24"/>
          <w:shd w:val="clear" w:color="auto" w:fill="FFFFFF"/>
        </w:rPr>
        <w:t>(3), 2388.</w:t>
      </w:r>
    </w:p>
    <w:p w14:paraId="273EBAFD" w14:textId="2368E8AF"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Alves, R. F., Vieira Neto, J., de Mattos Nascimento, D. L., de Andrade, F. E., Tortorella, G. L., &amp; Garza-Reyes, J. A. (2022). Lean accounting: a structured literature review. </w:t>
      </w:r>
      <w:r w:rsidRPr="000F5148">
        <w:rPr>
          <w:i/>
          <w:iCs/>
          <w:color w:val="222222"/>
          <w:sz w:val="24"/>
          <w:szCs w:val="24"/>
          <w:shd w:val="clear" w:color="auto" w:fill="FFFFFF"/>
        </w:rPr>
        <w:t>The TQM Journal</w:t>
      </w:r>
      <w:r w:rsidRPr="000F5148">
        <w:rPr>
          <w:color w:val="222222"/>
          <w:sz w:val="24"/>
          <w:szCs w:val="24"/>
          <w:shd w:val="clear" w:color="auto" w:fill="FFFFFF"/>
        </w:rPr>
        <w:t>, </w:t>
      </w:r>
      <w:r w:rsidRPr="000F5148">
        <w:rPr>
          <w:i/>
          <w:iCs/>
          <w:color w:val="222222"/>
          <w:sz w:val="24"/>
          <w:szCs w:val="24"/>
          <w:shd w:val="clear" w:color="auto" w:fill="FFFFFF"/>
        </w:rPr>
        <w:t>34</w:t>
      </w:r>
      <w:r w:rsidRPr="000F5148">
        <w:rPr>
          <w:color w:val="222222"/>
          <w:sz w:val="24"/>
          <w:szCs w:val="24"/>
          <w:shd w:val="clear" w:color="auto" w:fill="FFFFFF"/>
        </w:rPr>
        <w:t>(6), 1547-1571.</w:t>
      </w:r>
    </w:p>
    <w:p w14:paraId="2C984438"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Appelbaum, D., Kogan, A., Vasarhelyi, M., &amp; Yan, Z. (2017). Impact of business analytics and enterprise systems on managerial accounting. </w:t>
      </w:r>
      <w:r w:rsidRPr="000F5148">
        <w:rPr>
          <w:i/>
          <w:iCs/>
          <w:color w:val="222222"/>
          <w:sz w:val="24"/>
          <w:szCs w:val="24"/>
          <w:shd w:val="clear" w:color="auto" w:fill="FFFFFF"/>
        </w:rPr>
        <w:t>International journal of accounting information systems</w:t>
      </w:r>
      <w:r w:rsidRPr="000F5148">
        <w:rPr>
          <w:color w:val="222222"/>
          <w:sz w:val="24"/>
          <w:szCs w:val="24"/>
          <w:shd w:val="clear" w:color="auto" w:fill="FFFFFF"/>
        </w:rPr>
        <w:t>, </w:t>
      </w:r>
      <w:r w:rsidRPr="000F5148">
        <w:rPr>
          <w:i/>
          <w:iCs/>
          <w:color w:val="222222"/>
          <w:sz w:val="24"/>
          <w:szCs w:val="24"/>
          <w:shd w:val="clear" w:color="auto" w:fill="FFFFFF"/>
        </w:rPr>
        <w:t>25</w:t>
      </w:r>
      <w:r w:rsidRPr="000F5148">
        <w:rPr>
          <w:color w:val="222222"/>
          <w:sz w:val="24"/>
          <w:szCs w:val="24"/>
          <w:shd w:val="clear" w:color="auto" w:fill="FFFFFF"/>
        </w:rPr>
        <w:t>, 29-44.</w:t>
      </w:r>
    </w:p>
    <w:p w14:paraId="687DD6AF"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Buckley, P., Found, P., Griffiths, G., &amp; Harrison, G. (2017). </w:t>
      </w:r>
      <w:r w:rsidRPr="000F5148">
        <w:rPr>
          <w:i/>
          <w:iCs/>
          <w:color w:val="222222"/>
          <w:sz w:val="24"/>
          <w:szCs w:val="24"/>
          <w:shd w:val="clear" w:color="auto" w:fill="FFFFFF"/>
        </w:rPr>
        <w:t>Staying Lean: thriving, not just surviving</w:t>
      </w:r>
      <w:r w:rsidRPr="000F5148">
        <w:rPr>
          <w:color w:val="222222"/>
          <w:sz w:val="24"/>
          <w:szCs w:val="24"/>
          <w:shd w:val="clear" w:color="auto" w:fill="FFFFFF"/>
        </w:rPr>
        <w:t>. CRC press.</w:t>
      </w:r>
    </w:p>
    <w:p w14:paraId="512BA583" w14:textId="77777777" w:rsidR="000F5148" w:rsidRDefault="000F5148" w:rsidP="000F5148">
      <w:pPr>
        <w:ind w:firstLine="285"/>
        <w:jc w:val="both"/>
        <w:rPr>
          <w:color w:val="222222"/>
          <w:sz w:val="24"/>
          <w:szCs w:val="24"/>
          <w:shd w:val="clear" w:color="auto" w:fill="FFFFFF"/>
        </w:rPr>
      </w:pPr>
      <w:r w:rsidRPr="000F5148">
        <w:rPr>
          <w:rFonts w:eastAsia="Times New Roman"/>
          <w:color w:val="000000"/>
          <w:sz w:val="24"/>
          <w:szCs w:val="24"/>
          <w:lang w:val="en-US"/>
        </w:rPr>
        <w:t xml:space="preserve">Đặng Văn Thanh (2023). Kế toán Việt Nam với công cuộc chuyển đổi số: Thực trạng và giải pháp. </w:t>
      </w:r>
      <w:r w:rsidRPr="000F5148">
        <w:rPr>
          <w:color w:val="222222"/>
          <w:sz w:val="24"/>
          <w:szCs w:val="24"/>
          <w:shd w:val="clear" w:color="auto" w:fill="FFFFFF"/>
        </w:rPr>
        <w:t xml:space="preserve">Darabi, R., Moradi, R., &amp; Toomari, U. (2023). </w:t>
      </w:r>
    </w:p>
    <w:p w14:paraId="3EA1D636" w14:textId="513AA07C"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Barriers to implementation of lean accounting in manufacturing companies. </w:t>
      </w:r>
      <w:r w:rsidRPr="000F5148">
        <w:rPr>
          <w:i/>
          <w:iCs/>
          <w:color w:val="222222"/>
          <w:sz w:val="24"/>
          <w:szCs w:val="24"/>
          <w:shd w:val="clear" w:color="auto" w:fill="FFFFFF"/>
        </w:rPr>
        <w:t>IJESPG (International Journal of Engineering, Economic, Social Politic and Government)</w:t>
      </w:r>
      <w:r w:rsidRPr="000F5148">
        <w:rPr>
          <w:color w:val="222222"/>
          <w:sz w:val="24"/>
          <w:szCs w:val="24"/>
          <w:shd w:val="clear" w:color="auto" w:fill="FFFFFF"/>
        </w:rPr>
        <w:t>, </w:t>
      </w:r>
      <w:r w:rsidRPr="000F5148">
        <w:rPr>
          <w:i/>
          <w:iCs/>
          <w:color w:val="222222"/>
          <w:sz w:val="24"/>
          <w:szCs w:val="24"/>
          <w:shd w:val="clear" w:color="auto" w:fill="FFFFFF"/>
        </w:rPr>
        <w:t>1</w:t>
      </w:r>
      <w:r w:rsidRPr="000F5148">
        <w:rPr>
          <w:color w:val="222222"/>
          <w:sz w:val="24"/>
          <w:szCs w:val="24"/>
          <w:shd w:val="clear" w:color="auto" w:fill="FFFFFF"/>
        </w:rPr>
        <w:t>(2), 45-55.</w:t>
      </w:r>
    </w:p>
    <w:p w14:paraId="61A398E7"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Grasso, L. (2012). Obstacles to lean accountancy. </w:t>
      </w:r>
      <w:r w:rsidRPr="000F5148">
        <w:rPr>
          <w:i/>
          <w:iCs/>
          <w:color w:val="222222"/>
          <w:sz w:val="24"/>
          <w:szCs w:val="24"/>
          <w:shd w:val="clear" w:color="auto" w:fill="FFFFFF"/>
        </w:rPr>
        <w:t>Lean accounting: best practices for sustainable integration</w:t>
      </w:r>
      <w:r w:rsidRPr="000F5148">
        <w:rPr>
          <w:color w:val="222222"/>
          <w:sz w:val="24"/>
          <w:szCs w:val="24"/>
          <w:shd w:val="clear" w:color="auto" w:fill="FFFFFF"/>
        </w:rPr>
        <w:t>, 177-207.</w:t>
      </w:r>
    </w:p>
    <w:p w14:paraId="5C2DB41A"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Maskell, B. H. (2000). Lean accounting for lean manufacturers. </w:t>
      </w:r>
      <w:r w:rsidRPr="000F5148">
        <w:rPr>
          <w:i/>
          <w:iCs/>
          <w:color w:val="222222"/>
          <w:sz w:val="24"/>
          <w:szCs w:val="24"/>
          <w:shd w:val="clear" w:color="auto" w:fill="FFFFFF"/>
        </w:rPr>
        <w:t>Manufacturing Engineering</w:t>
      </w:r>
      <w:r w:rsidRPr="000F5148">
        <w:rPr>
          <w:color w:val="222222"/>
          <w:sz w:val="24"/>
          <w:szCs w:val="24"/>
          <w:shd w:val="clear" w:color="auto" w:fill="FFFFFF"/>
        </w:rPr>
        <w:t>, </w:t>
      </w:r>
      <w:r w:rsidRPr="000F5148">
        <w:rPr>
          <w:i/>
          <w:iCs/>
          <w:color w:val="222222"/>
          <w:sz w:val="24"/>
          <w:szCs w:val="24"/>
          <w:shd w:val="clear" w:color="auto" w:fill="FFFFFF"/>
        </w:rPr>
        <w:t>125</w:t>
      </w:r>
      <w:r w:rsidRPr="000F5148">
        <w:rPr>
          <w:color w:val="222222"/>
          <w:sz w:val="24"/>
          <w:szCs w:val="24"/>
          <w:shd w:val="clear" w:color="auto" w:fill="FFFFFF"/>
        </w:rPr>
        <w:t>(6), 46-46.</w:t>
      </w:r>
    </w:p>
    <w:p w14:paraId="60632FA5"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Maskell, B. H., Baggaley, B., &amp; Grasso, L. (2011). </w:t>
      </w:r>
      <w:r w:rsidRPr="000F5148">
        <w:rPr>
          <w:i/>
          <w:iCs/>
          <w:color w:val="222222"/>
          <w:sz w:val="24"/>
          <w:szCs w:val="24"/>
          <w:shd w:val="clear" w:color="auto" w:fill="FFFFFF"/>
        </w:rPr>
        <w:t>Practical lean accounting: a proven system for measuring and managing the lean enterprise</w:t>
      </w:r>
      <w:r w:rsidRPr="000F5148">
        <w:rPr>
          <w:color w:val="222222"/>
          <w:sz w:val="24"/>
          <w:szCs w:val="24"/>
          <w:shd w:val="clear" w:color="auto" w:fill="FFFFFF"/>
        </w:rPr>
        <w:t>. CRC Press.</w:t>
      </w:r>
    </w:p>
    <w:p w14:paraId="5827C3DA"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Mathiyazhagan, K., Govindan, K., NoorulHaq, A., &amp; Geng, Y. (2013). An ISM approach for the barrier analysis in implementing green supply chain management. </w:t>
      </w:r>
      <w:r w:rsidRPr="000F5148">
        <w:rPr>
          <w:i/>
          <w:iCs/>
          <w:color w:val="222222"/>
          <w:sz w:val="24"/>
          <w:szCs w:val="24"/>
          <w:shd w:val="clear" w:color="auto" w:fill="FFFFFF"/>
        </w:rPr>
        <w:t>Journal of cleaner production</w:t>
      </w:r>
      <w:r w:rsidRPr="000F5148">
        <w:rPr>
          <w:color w:val="222222"/>
          <w:sz w:val="24"/>
          <w:szCs w:val="24"/>
          <w:shd w:val="clear" w:color="auto" w:fill="FFFFFF"/>
        </w:rPr>
        <w:t>, </w:t>
      </w:r>
      <w:r w:rsidRPr="000F5148">
        <w:rPr>
          <w:i/>
          <w:iCs/>
          <w:color w:val="222222"/>
          <w:sz w:val="24"/>
          <w:szCs w:val="24"/>
          <w:shd w:val="clear" w:color="auto" w:fill="FFFFFF"/>
        </w:rPr>
        <w:t>47</w:t>
      </w:r>
      <w:r w:rsidRPr="000F5148">
        <w:rPr>
          <w:color w:val="222222"/>
          <w:sz w:val="24"/>
          <w:szCs w:val="24"/>
          <w:shd w:val="clear" w:color="auto" w:fill="FFFFFF"/>
        </w:rPr>
        <w:t>, 283-297.</w:t>
      </w:r>
    </w:p>
    <w:p w14:paraId="08916627"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McVay, G., Kennedy, F., &amp; Fullerton, R. (2013). </w:t>
      </w:r>
      <w:r w:rsidRPr="000F5148">
        <w:rPr>
          <w:i/>
          <w:iCs/>
          <w:color w:val="222222"/>
          <w:sz w:val="24"/>
          <w:szCs w:val="24"/>
          <w:shd w:val="clear" w:color="auto" w:fill="FFFFFF"/>
        </w:rPr>
        <w:t>Accounting in the lean enterprise: providing simple, practical, and decision-relevant information</w:t>
      </w:r>
      <w:r w:rsidRPr="000F5148">
        <w:rPr>
          <w:color w:val="222222"/>
          <w:sz w:val="24"/>
          <w:szCs w:val="24"/>
          <w:shd w:val="clear" w:color="auto" w:fill="FFFFFF"/>
        </w:rPr>
        <w:t>. CRC Press.</w:t>
      </w:r>
    </w:p>
    <w:p w14:paraId="4D08A57B"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Mohammandi, M., &amp; Nikoomaram, H. (2008). Lean Accounting is a new approach in accounting: Concepts, Principles, Practices, tools. </w:t>
      </w:r>
      <w:r w:rsidRPr="000F5148">
        <w:rPr>
          <w:i/>
          <w:iCs/>
          <w:color w:val="222222"/>
          <w:sz w:val="24"/>
          <w:szCs w:val="24"/>
          <w:shd w:val="clear" w:color="auto" w:fill="FFFFFF"/>
        </w:rPr>
        <w:t>Management accounting</w:t>
      </w:r>
      <w:r w:rsidRPr="000F5148">
        <w:rPr>
          <w:color w:val="222222"/>
          <w:sz w:val="24"/>
          <w:szCs w:val="24"/>
          <w:shd w:val="clear" w:color="auto" w:fill="FFFFFF"/>
        </w:rPr>
        <w:t>, </w:t>
      </w:r>
      <w:r w:rsidRPr="000F5148">
        <w:rPr>
          <w:i/>
          <w:iCs/>
          <w:color w:val="222222"/>
          <w:sz w:val="24"/>
          <w:szCs w:val="24"/>
          <w:shd w:val="clear" w:color="auto" w:fill="FFFFFF"/>
        </w:rPr>
        <w:t>1</w:t>
      </w:r>
      <w:r w:rsidRPr="000F5148">
        <w:rPr>
          <w:color w:val="222222"/>
          <w:sz w:val="24"/>
          <w:szCs w:val="24"/>
          <w:shd w:val="clear" w:color="auto" w:fill="FFFFFF"/>
        </w:rPr>
        <w:t>, 17-28.</w:t>
      </w:r>
    </w:p>
    <w:p w14:paraId="5FC14C2E"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Moll, J., &amp; Yigitbasioglu, O. (2019). The role of internet-related technologies in shaping the work of accountants: New directions for accounting research. </w:t>
      </w:r>
      <w:r w:rsidRPr="000F5148">
        <w:rPr>
          <w:i/>
          <w:iCs/>
          <w:color w:val="222222"/>
          <w:sz w:val="24"/>
          <w:szCs w:val="24"/>
          <w:shd w:val="clear" w:color="auto" w:fill="FFFFFF"/>
        </w:rPr>
        <w:t>The British accounting review</w:t>
      </w:r>
      <w:r w:rsidRPr="000F5148">
        <w:rPr>
          <w:color w:val="222222"/>
          <w:sz w:val="24"/>
          <w:szCs w:val="24"/>
          <w:shd w:val="clear" w:color="auto" w:fill="FFFFFF"/>
        </w:rPr>
        <w:t>, </w:t>
      </w:r>
      <w:r w:rsidRPr="000F5148">
        <w:rPr>
          <w:i/>
          <w:iCs/>
          <w:color w:val="222222"/>
          <w:sz w:val="24"/>
          <w:szCs w:val="24"/>
          <w:shd w:val="clear" w:color="auto" w:fill="FFFFFF"/>
        </w:rPr>
        <w:t>51</w:t>
      </w:r>
      <w:r w:rsidRPr="000F5148">
        <w:rPr>
          <w:color w:val="222222"/>
          <w:sz w:val="24"/>
          <w:szCs w:val="24"/>
          <w:shd w:val="clear" w:color="auto" w:fill="FFFFFF"/>
        </w:rPr>
        <w:t>(6), 100833.</w:t>
      </w:r>
    </w:p>
    <w:p w14:paraId="15945B27" w14:textId="77777777" w:rsidR="000F5148" w:rsidRPr="000F5148" w:rsidRDefault="000F5148" w:rsidP="000F5148">
      <w:pPr>
        <w:ind w:firstLine="285"/>
        <w:jc w:val="both"/>
        <w:rPr>
          <w:sz w:val="24"/>
          <w:szCs w:val="24"/>
        </w:rPr>
      </w:pPr>
      <w:r w:rsidRPr="000F5148">
        <w:rPr>
          <w:color w:val="222222"/>
          <w:sz w:val="24"/>
          <w:szCs w:val="24"/>
          <w:shd w:val="clear" w:color="auto" w:fill="FFFFFF"/>
        </w:rPr>
        <w:t xml:space="preserve">Ngô Thị Hải Châu (2024). </w:t>
      </w:r>
      <w:r w:rsidRPr="000F5148">
        <w:rPr>
          <w:bCs/>
          <w:iCs/>
          <w:spacing w:val="-8"/>
          <w:sz w:val="24"/>
          <w:szCs w:val="24"/>
        </w:rPr>
        <w:t xml:space="preserve">Nghiên cứu áp dụng kế toán tinh gọn tại các doanh nghiệp may Việt Nam. Luận án tiến sĩ, </w:t>
      </w:r>
      <w:r w:rsidRPr="000F5148">
        <w:rPr>
          <w:bCs/>
          <w:sz w:val="24"/>
          <w:szCs w:val="24"/>
        </w:rPr>
        <w:t>Trường Đại học Kinh tế Quốc dân</w:t>
      </w:r>
      <w:r w:rsidRPr="000F5148">
        <w:rPr>
          <w:sz w:val="24"/>
          <w:szCs w:val="24"/>
        </w:rPr>
        <w:t>.</w:t>
      </w:r>
    </w:p>
    <w:p w14:paraId="7779A3DB" w14:textId="1F11E023" w:rsidR="000F5148" w:rsidRPr="000F5148" w:rsidRDefault="000F5148" w:rsidP="000F5148">
      <w:pPr>
        <w:ind w:firstLine="285"/>
        <w:jc w:val="both"/>
        <w:rPr>
          <w:rStyle w:val="fontstyle01"/>
          <w:sz w:val="24"/>
          <w:szCs w:val="24"/>
        </w:rPr>
      </w:pPr>
      <w:r w:rsidRPr="000F5148">
        <w:rPr>
          <w:rStyle w:val="fontstyle01"/>
          <w:sz w:val="24"/>
          <w:szCs w:val="24"/>
        </w:rPr>
        <w:t>Nguy</w:t>
      </w:r>
      <w:r w:rsidRPr="000F5148">
        <w:rPr>
          <w:rStyle w:val="fontstyle11"/>
          <w:rFonts w:ascii="Times New Roman" w:hAnsi="Times New Roman"/>
        </w:rPr>
        <w:t>ễ</w:t>
      </w:r>
      <w:r w:rsidRPr="000F5148">
        <w:rPr>
          <w:rStyle w:val="fontstyle01"/>
          <w:sz w:val="24"/>
          <w:szCs w:val="24"/>
        </w:rPr>
        <w:t>n Th</w:t>
      </w:r>
      <w:r w:rsidRPr="000F5148">
        <w:rPr>
          <w:rStyle w:val="fontstyle11"/>
          <w:rFonts w:ascii="Times New Roman" w:hAnsi="Times New Roman"/>
        </w:rPr>
        <w:t xml:space="preserve">ị </w:t>
      </w:r>
      <w:r w:rsidRPr="000F5148">
        <w:rPr>
          <w:rStyle w:val="fontstyle01"/>
          <w:sz w:val="24"/>
          <w:szCs w:val="24"/>
        </w:rPr>
        <w:t>Ph</w:t>
      </w:r>
      <w:r w:rsidRPr="000F5148">
        <w:rPr>
          <w:rStyle w:val="fontstyle11"/>
          <w:rFonts w:ascii="Times New Roman" w:hAnsi="Times New Roman"/>
        </w:rPr>
        <w:t>ươ</w:t>
      </w:r>
      <w:r w:rsidRPr="000F5148">
        <w:rPr>
          <w:rStyle w:val="fontstyle01"/>
          <w:sz w:val="24"/>
          <w:szCs w:val="24"/>
        </w:rPr>
        <w:t>ng Dung, Nguy</w:t>
      </w:r>
      <w:r w:rsidRPr="000F5148">
        <w:rPr>
          <w:rStyle w:val="fontstyle11"/>
          <w:rFonts w:ascii="Times New Roman" w:hAnsi="Times New Roman"/>
        </w:rPr>
        <w:t>ễ</w:t>
      </w:r>
      <w:r w:rsidRPr="000F5148">
        <w:rPr>
          <w:rStyle w:val="fontstyle01"/>
          <w:sz w:val="24"/>
          <w:szCs w:val="24"/>
        </w:rPr>
        <w:t>n Th</w:t>
      </w:r>
      <w:r w:rsidRPr="000F5148">
        <w:rPr>
          <w:rStyle w:val="fontstyle11"/>
          <w:rFonts w:ascii="Times New Roman" w:hAnsi="Times New Roman"/>
        </w:rPr>
        <w:t xml:space="preserve">ị </w:t>
      </w:r>
      <w:r w:rsidRPr="000F5148">
        <w:rPr>
          <w:rStyle w:val="fontstyle01"/>
          <w:sz w:val="24"/>
          <w:szCs w:val="24"/>
        </w:rPr>
        <w:t>Liên H</w:t>
      </w:r>
      <w:r w:rsidRPr="000F5148">
        <w:rPr>
          <w:rStyle w:val="fontstyle11"/>
          <w:rFonts w:ascii="Times New Roman" w:hAnsi="Times New Roman"/>
        </w:rPr>
        <w:t>ươ</w:t>
      </w:r>
      <w:r w:rsidRPr="000F5148">
        <w:rPr>
          <w:rStyle w:val="fontstyle01"/>
          <w:sz w:val="24"/>
          <w:szCs w:val="24"/>
        </w:rPr>
        <w:t>ng và Nguy</w:t>
      </w:r>
      <w:r w:rsidRPr="000F5148">
        <w:rPr>
          <w:rStyle w:val="fontstyle11"/>
          <w:rFonts w:ascii="Times New Roman" w:hAnsi="Times New Roman"/>
        </w:rPr>
        <w:t>ễ</w:t>
      </w:r>
      <w:r w:rsidRPr="000F5148">
        <w:rPr>
          <w:rStyle w:val="fontstyle01"/>
          <w:sz w:val="24"/>
          <w:szCs w:val="24"/>
        </w:rPr>
        <w:t>n Th</w:t>
      </w:r>
      <w:r w:rsidRPr="000F5148">
        <w:rPr>
          <w:rStyle w:val="fontstyle11"/>
          <w:rFonts w:ascii="Times New Roman" w:hAnsi="Times New Roman"/>
        </w:rPr>
        <w:t xml:space="preserve">ị </w:t>
      </w:r>
      <w:r w:rsidRPr="000F5148">
        <w:rPr>
          <w:rStyle w:val="fontstyle01"/>
          <w:sz w:val="24"/>
          <w:szCs w:val="24"/>
        </w:rPr>
        <w:t>H</w:t>
      </w:r>
      <w:r w:rsidRPr="000F5148">
        <w:rPr>
          <w:rStyle w:val="fontstyle11"/>
          <w:rFonts w:ascii="Times New Roman" w:hAnsi="Times New Roman"/>
        </w:rPr>
        <w:t>ả</w:t>
      </w:r>
      <w:r w:rsidRPr="000F5148">
        <w:rPr>
          <w:rStyle w:val="fontstyle01"/>
          <w:sz w:val="24"/>
          <w:szCs w:val="24"/>
        </w:rPr>
        <w:t>i Hà (2021). Các nhân t</w:t>
      </w:r>
      <w:r w:rsidRPr="000F5148">
        <w:rPr>
          <w:rStyle w:val="fontstyle11"/>
          <w:rFonts w:ascii="Times New Roman" w:hAnsi="Times New Roman"/>
        </w:rPr>
        <w:t>ố ả</w:t>
      </w:r>
      <w:r w:rsidRPr="000F5148">
        <w:rPr>
          <w:rStyle w:val="fontstyle01"/>
          <w:sz w:val="24"/>
          <w:szCs w:val="24"/>
        </w:rPr>
        <w:t>nh h</w:t>
      </w:r>
      <w:r w:rsidRPr="000F5148">
        <w:rPr>
          <w:rStyle w:val="fontstyle11"/>
          <w:rFonts w:ascii="Times New Roman" w:hAnsi="Times New Roman"/>
        </w:rPr>
        <w:t>ưở</w:t>
      </w:r>
      <w:r w:rsidRPr="000F5148">
        <w:rPr>
          <w:rStyle w:val="fontstyle01"/>
          <w:sz w:val="24"/>
          <w:szCs w:val="24"/>
        </w:rPr>
        <w:t xml:space="preserve">ng </w:t>
      </w:r>
      <w:r w:rsidRPr="000F5148">
        <w:rPr>
          <w:rStyle w:val="fontstyle11"/>
          <w:rFonts w:ascii="Times New Roman" w:hAnsi="Times New Roman"/>
        </w:rPr>
        <w:t>đế</w:t>
      </w:r>
      <w:r w:rsidRPr="000F5148">
        <w:rPr>
          <w:rStyle w:val="fontstyle01"/>
          <w:sz w:val="24"/>
          <w:szCs w:val="24"/>
        </w:rPr>
        <w:t xml:space="preserve">n trình </w:t>
      </w:r>
      <w:r w:rsidRPr="000F5148">
        <w:rPr>
          <w:rStyle w:val="fontstyle11"/>
          <w:rFonts w:ascii="Times New Roman" w:hAnsi="Times New Roman"/>
        </w:rPr>
        <w:t xml:space="preserve">độ </w:t>
      </w:r>
      <w:r w:rsidRPr="000F5148">
        <w:rPr>
          <w:rStyle w:val="fontstyle01"/>
          <w:sz w:val="24"/>
          <w:szCs w:val="24"/>
        </w:rPr>
        <w:t>phát tri</w:t>
      </w:r>
      <w:r w:rsidRPr="000F5148">
        <w:rPr>
          <w:rStyle w:val="fontstyle11"/>
          <w:rFonts w:ascii="Times New Roman" w:hAnsi="Times New Roman"/>
        </w:rPr>
        <w:t>ể</w:t>
      </w:r>
      <w:r w:rsidRPr="000F5148">
        <w:rPr>
          <w:rStyle w:val="fontstyle01"/>
          <w:sz w:val="24"/>
          <w:szCs w:val="24"/>
        </w:rPr>
        <w:t xml:space="preserve">n </w:t>
      </w:r>
      <w:r>
        <w:rPr>
          <w:rStyle w:val="fontstyle01"/>
          <w:sz w:val="24"/>
          <w:szCs w:val="24"/>
        </w:rPr>
        <w:t>KTQT</w:t>
      </w:r>
      <w:r w:rsidRPr="000F5148">
        <w:rPr>
          <w:rStyle w:val="fontstyle11"/>
          <w:rFonts w:ascii="Times New Roman" w:hAnsi="Times New Roman"/>
        </w:rPr>
        <w:t xml:space="preserve"> </w:t>
      </w:r>
      <w:r w:rsidRPr="000F5148">
        <w:rPr>
          <w:rStyle w:val="fontstyle01"/>
          <w:sz w:val="24"/>
          <w:szCs w:val="24"/>
        </w:rPr>
        <w:t>t</w:t>
      </w:r>
      <w:r w:rsidRPr="000F5148">
        <w:rPr>
          <w:rStyle w:val="fontstyle11"/>
          <w:rFonts w:ascii="Times New Roman" w:hAnsi="Times New Roman"/>
        </w:rPr>
        <w:t>ạ</w:t>
      </w:r>
      <w:r w:rsidRPr="000F5148">
        <w:rPr>
          <w:rStyle w:val="fontstyle01"/>
          <w:sz w:val="24"/>
          <w:szCs w:val="24"/>
        </w:rPr>
        <w:t xml:space="preserve">i </w:t>
      </w:r>
      <w:r>
        <w:rPr>
          <w:rStyle w:val="fontstyle01"/>
          <w:sz w:val="24"/>
          <w:szCs w:val="24"/>
        </w:rPr>
        <w:t>DN</w:t>
      </w:r>
      <w:r w:rsidRPr="000F5148">
        <w:rPr>
          <w:rStyle w:val="fontstyle01"/>
          <w:sz w:val="24"/>
          <w:szCs w:val="24"/>
        </w:rPr>
        <w:t xml:space="preserve"> s</w:t>
      </w:r>
      <w:r w:rsidRPr="000F5148">
        <w:rPr>
          <w:rStyle w:val="fontstyle11"/>
          <w:rFonts w:ascii="Times New Roman" w:hAnsi="Times New Roman"/>
        </w:rPr>
        <w:t>ả</w:t>
      </w:r>
      <w:r w:rsidRPr="000F5148">
        <w:rPr>
          <w:rStyle w:val="fontstyle01"/>
          <w:sz w:val="24"/>
          <w:szCs w:val="24"/>
        </w:rPr>
        <w:t>n xu</w:t>
      </w:r>
      <w:r w:rsidRPr="000F5148">
        <w:rPr>
          <w:rStyle w:val="fontstyle11"/>
          <w:rFonts w:ascii="Times New Roman" w:hAnsi="Times New Roman"/>
        </w:rPr>
        <w:t>ấ</w:t>
      </w:r>
      <w:r w:rsidRPr="000F5148">
        <w:rPr>
          <w:rStyle w:val="fontstyle01"/>
          <w:sz w:val="24"/>
          <w:szCs w:val="24"/>
        </w:rPr>
        <w:t>t và th</w:t>
      </w:r>
      <w:r w:rsidRPr="000F5148">
        <w:rPr>
          <w:rStyle w:val="fontstyle11"/>
          <w:rFonts w:ascii="Times New Roman" w:hAnsi="Times New Roman"/>
        </w:rPr>
        <w:t>ươ</w:t>
      </w:r>
      <w:r w:rsidRPr="000F5148">
        <w:rPr>
          <w:rStyle w:val="fontstyle01"/>
          <w:sz w:val="24"/>
          <w:szCs w:val="24"/>
        </w:rPr>
        <w:t>ng m</w:t>
      </w:r>
      <w:r w:rsidRPr="000F5148">
        <w:rPr>
          <w:rStyle w:val="fontstyle11"/>
          <w:rFonts w:ascii="Times New Roman" w:hAnsi="Times New Roman"/>
        </w:rPr>
        <w:t>ạ</w:t>
      </w:r>
      <w:r w:rsidRPr="000F5148">
        <w:rPr>
          <w:rStyle w:val="fontstyle01"/>
          <w:sz w:val="24"/>
          <w:szCs w:val="24"/>
        </w:rPr>
        <w:t>i Vi</w:t>
      </w:r>
      <w:r w:rsidRPr="000F5148">
        <w:rPr>
          <w:rStyle w:val="fontstyle11"/>
          <w:rFonts w:ascii="Times New Roman" w:hAnsi="Times New Roman"/>
        </w:rPr>
        <w:t>ệ</w:t>
      </w:r>
      <w:r w:rsidRPr="000F5148">
        <w:rPr>
          <w:rStyle w:val="fontstyle01"/>
          <w:sz w:val="24"/>
          <w:szCs w:val="24"/>
        </w:rPr>
        <w:t xml:space="preserve">t Nam. </w:t>
      </w:r>
      <w:r w:rsidRPr="000F5148">
        <w:rPr>
          <w:rStyle w:val="fontstyle31"/>
          <w:rFonts w:ascii="Times New Roman" w:hAnsi="Times New Roman"/>
        </w:rPr>
        <w:t>T</w:t>
      </w:r>
      <w:r w:rsidRPr="000F5148">
        <w:rPr>
          <w:rStyle w:val="fontstyle41"/>
          <w:rFonts w:ascii="Times New Roman" w:hAnsi="Times New Roman"/>
        </w:rPr>
        <w:t>ạ</w:t>
      </w:r>
      <w:r w:rsidRPr="000F5148">
        <w:rPr>
          <w:rStyle w:val="fontstyle31"/>
          <w:rFonts w:ascii="Times New Roman" w:hAnsi="Times New Roman"/>
        </w:rPr>
        <w:t>p chí Kinh t</w:t>
      </w:r>
      <w:r w:rsidRPr="000F5148">
        <w:rPr>
          <w:rStyle w:val="fontstyle41"/>
          <w:rFonts w:ascii="Times New Roman" w:hAnsi="Times New Roman"/>
        </w:rPr>
        <w:t xml:space="preserve">ế </w:t>
      </w:r>
      <w:r w:rsidRPr="000F5148">
        <w:rPr>
          <w:rStyle w:val="fontstyle31"/>
          <w:rFonts w:ascii="Times New Roman" w:hAnsi="Times New Roman"/>
        </w:rPr>
        <w:t>và Phát tri</w:t>
      </w:r>
      <w:r w:rsidRPr="000F5148">
        <w:rPr>
          <w:rStyle w:val="fontstyle41"/>
          <w:rFonts w:ascii="Times New Roman" w:hAnsi="Times New Roman"/>
        </w:rPr>
        <w:t>ể</w:t>
      </w:r>
      <w:r w:rsidRPr="000F5148">
        <w:rPr>
          <w:rStyle w:val="fontstyle31"/>
          <w:rFonts w:ascii="Times New Roman" w:hAnsi="Times New Roman"/>
        </w:rPr>
        <w:t>n</w:t>
      </w:r>
      <w:r w:rsidRPr="000F5148">
        <w:rPr>
          <w:rStyle w:val="fontstyle01"/>
          <w:sz w:val="24"/>
          <w:szCs w:val="24"/>
        </w:rPr>
        <w:t>, S</w:t>
      </w:r>
      <w:r w:rsidRPr="000F5148">
        <w:rPr>
          <w:rStyle w:val="fontstyle11"/>
          <w:rFonts w:ascii="Times New Roman" w:hAnsi="Times New Roman"/>
        </w:rPr>
        <w:t xml:space="preserve">ố </w:t>
      </w:r>
      <w:r w:rsidRPr="000F5148">
        <w:rPr>
          <w:rStyle w:val="fontstyle01"/>
          <w:sz w:val="24"/>
          <w:szCs w:val="24"/>
        </w:rPr>
        <w:t>291, tr. 86-96.</w:t>
      </w:r>
    </w:p>
    <w:p w14:paraId="10900DB6" w14:textId="300162B0" w:rsidR="000F5148" w:rsidRPr="000F5148" w:rsidRDefault="000F5148" w:rsidP="000F5148">
      <w:pPr>
        <w:ind w:firstLine="285"/>
        <w:jc w:val="both"/>
        <w:rPr>
          <w:rStyle w:val="fontstyle01"/>
          <w:sz w:val="24"/>
          <w:szCs w:val="24"/>
        </w:rPr>
      </w:pPr>
      <w:r w:rsidRPr="000F5148">
        <w:rPr>
          <w:rStyle w:val="fontstyle01"/>
          <w:sz w:val="24"/>
          <w:szCs w:val="24"/>
        </w:rPr>
        <w:t>Nguy</w:t>
      </w:r>
      <w:r w:rsidRPr="000F5148">
        <w:rPr>
          <w:rStyle w:val="fontstyle11"/>
          <w:rFonts w:ascii="Times New Roman" w:hAnsi="Times New Roman"/>
        </w:rPr>
        <w:t>ễ</w:t>
      </w:r>
      <w:r w:rsidRPr="000F5148">
        <w:rPr>
          <w:rStyle w:val="fontstyle01"/>
          <w:sz w:val="24"/>
          <w:szCs w:val="24"/>
        </w:rPr>
        <w:t>n V</w:t>
      </w:r>
      <w:r w:rsidRPr="000F5148">
        <w:rPr>
          <w:rStyle w:val="fontstyle11"/>
          <w:rFonts w:ascii="Times New Roman" w:hAnsi="Times New Roman"/>
        </w:rPr>
        <w:t>ă</w:t>
      </w:r>
      <w:r w:rsidRPr="000F5148">
        <w:rPr>
          <w:rStyle w:val="fontstyle01"/>
          <w:sz w:val="24"/>
          <w:szCs w:val="24"/>
        </w:rPr>
        <w:t>n Hòa (2020). Áp d</w:t>
      </w:r>
      <w:r w:rsidRPr="000F5148">
        <w:rPr>
          <w:rStyle w:val="fontstyle11"/>
          <w:rFonts w:ascii="Times New Roman" w:hAnsi="Times New Roman"/>
        </w:rPr>
        <w:t>ụ</w:t>
      </w:r>
      <w:r w:rsidRPr="000F5148">
        <w:rPr>
          <w:rStyle w:val="fontstyle01"/>
          <w:sz w:val="24"/>
          <w:szCs w:val="24"/>
        </w:rPr>
        <w:t>ng k</w:t>
      </w:r>
      <w:r w:rsidRPr="000F5148">
        <w:rPr>
          <w:rStyle w:val="fontstyle11"/>
          <w:rFonts w:ascii="Times New Roman" w:hAnsi="Times New Roman"/>
        </w:rPr>
        <w:t xml:space="preserve">ế </w:t>
      </w:r>
      <w:r w:rsidRPr="000F5148">
        <w:rPr>
          <w:rStyle w:val="fontstyle01"/>
          <w:sz w:val="24"/>
          <w:szCs w:val="24"/>
        </w:rPr>
        <w:t>toán tinh g</w:t>
      </w:r>
      <w:r w:rsidRPr="000F5148">
        <w:rPr>
          <w:rStyle w:val="fontstyle11"/>
          <w:rFonts w:ascii="Times New Roman" w:hAnsi="Times New Roman"/>
        </w:rPr>
        <w:t>ọ</w:t>
      </w:r>
      <w:r w:rsidRPr="000F5148">
        <w:rPr>
          <w:rStyle w:val="fontstyle01"/>
          <w:sz w:val="24"/>
          <w:szCs w:val="24"/>
        </w:rPr>
        <w:t>n trong DN và m</w:t>
      </w:r>
      <w:r w:rsidRPr="000F5148">
        <w:rPr>
          <w:rStyle w:val="fontstyle11"/>
          <w:rFonts w:ascii="Times New Roman" w:hAnsi="Times New Roman"/>
        </w:rPr>
        <w:t>ộ</w:t>
      </w:r>
      <w:r w:rsidRPr="000F5148">
        <w:rPr>
          <w:rStyle w:val="fontstyle01"/>
          <w:sz w:val="24"/>
          <w:szCs w:val="24"/>
        </w:rPr>
        <w:t>t s</w:t>
      </w:r>
      <w:r w:rsidRPr="000F5148">
        <w:rPr>
          <w:rStyle w:val="fontstyle11"/>
          <w:rFonts w:ascii="Times New Roman" w:hAnsi="Times New Roman"/>
        </w:rPr>
        <w:t xml:space="preserve">ố đề </w:t>
      </w:r>
      <w:r w:rsidRPr="000F5148">
        <w:rPr>
          <w:rStyle w:val="fontstyle01"/>
          <w:sz w:val="24"/>
          <w:szCs w:val="24"/>
        </w:rPr>
        <w:t>xu</w:t>
      </w:r>
      <w:r w:rsidRPr="000F5148">
        <w:rPr>
          <w:rStyle w:val="fontstyle11"/>
          <w:rFonts w:ascii="Times New Roman" w:hAnsi="Times New Roman"/>
        </w:rPr>
        <w:t>ấ</w:t>
      </w:r>
      <w:r w:rsidRPr="000F5148">
        <w:rPr>
          <w:rStyle w:val="fontstyle01"/>
          <w:sz w:val="24"/>
          <w:szCs w:val="24"/>
        </w:rPr>
        <w:t xml:space="preserve">t. </w:t>
      </w:r>
      <w:r w:rsidRPr="000F5148">
        <w:rPr>
          <w:rStyle w:val="fontstyle31"/>
          <w:rFonts w:ascii="Times New Roman" w:hAnsi="Times New Roman"/>
        </w:rPr>
        <w:t>T</w:t>
      </w:r>
      <w:r w:rsidRPr="000F5148">
        <w:rPr>
          <w:rStyle w:val="fontstyle41"/>
          <w:rFonts w:ascii="Times New Roman" w:hAnsi="Times New Roman"/>
        </w:rPr>
        <w:t>ạ</w:t>
      </w:r>
      <w:r w:rsidRPr="000F5148">
        <w:rPr>
          <w:rStyle w:val="fontstyle31"/>
          <w:rFonts w:ascii="Times New Roman" w:hAnsi="Times New Roman"/>
        </w:rPr>
        <w:t>p chí Tài chính</w:t>
      </w:r>
      <w:r w:rsidRPr="000F5148">
        <w:rPr>
          <w:rStyle w:val="fontstyle01"/>
          <w:sz w:val="24"/>
          <w:szCs w:val="24"/>
        </w:rPr>
        <w:t>, K</w:t>
      </w:r>
      <w:r w:rsidRPr="000F5148">
        <w:rPr>
          <w:rStyle w:val="fontstyle11"/>
          <w:rFonts w:ascii="Times New Roman" w:hAnsi="Times New Roman"/>
        </w:rPr>
        <w:t xml:space="preserve">ỳ </w:t>
      </w:r>
      <w:r w:rsidRPr="000F5148">
        <w:rPr>
          <w:rStyle w:val="fontstyle01"/>
          <w:sz w:val="24"/>
          <w:szCs w:val="24"/>
        </w:rPr>
        <w:t>1 tháng 7/2020 (732), 95-98</w:t>
      </w:r>
    </w:p>
    <w:p w14:paraId="016AAA0E"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Stronczek, A. (2025). Lean Accounting Tool Packages and Firm Typologies: Evidence from an Exploratory Factor Analysis in Manufacturing. </w:t>
      </w:r>
      <w:r w:rsidRPr="000F5148">
        <w:rPr>
          <w:i/>
          <w:iCs/>
          <w:color w:val="222222"/>
          <w:sz w:val="24"/>
          <w:szCs w:val="24"/>
          <w:shd w:val="clear" w:color="auto" w:fill="FFFFFF"/>
        </w:rPr>
        <w:t>Sustainability</w:t>
      </w:r>
      <w:r w:rsidRPr="000F5148">
        <w:rPr>
          <w:color w:val="222222"/>
          <w:sz w:val="24"/>
          <w:szCs w:val="24"/>
          <w:shd w:val="clear" w:color="auto" w:fill="FFFFFF"/>
        </w:rPr>
        <w:t>, </w:t>
      </w:r>
      <w:r w:rsidRPr="000F5148">
        <w:rPr>
          <w:i/>
          <w:iCs/>
          <w:color w:val="222222"/>
          <w:sz w:val="24"/>
          <w:szCs w:val="24"/>
          <w:shd w:val="clear" w:color="auto" w:fill="FFFFFF"/>
        </w:rPr>
        <w:t>17</w:t>
      </w:r>
      <w:r w:rsidRPr="000F5148">
        <w:rPr>
          <w:color w:val="222222"/>
          <w:sz w:val="24"/>
          <w:szCs w:val="24"/>
          <w:shd w:val="clear" w:color="auto" w:fill="FFFFFF"/>
        </w:rPr>
        <w:t>(19), 8532.</w:t>
      </w:r>
    </w:p>
    <w:p w14:paraId="740A91A2"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Timm, P. H. (2015). </w:t>
      </w:r>
      <w:r w:rsidRPr="000F5148">
        <w:rPr>
          <w:i/>
          <w:iCs/>
          <w:color w:val="222222"/>
          <w:sz w:val="24"/>
          <w:szCs w:val="24"/>
          <w:shd w:val="clear" w:color="auto" w:fill="FFFFFF"/>
        </w:rPr>
        <w:t>Perceptions of value-stream costing and the effect on lean-accounting implementation</w:t>
      </w:r>
      <w:r w:rsidRPr="000F5148">
        <w:rPr>
          <w:color w:val="222222"/>
          <w:sz w:val="24"/>
          <w:szCs w:val="24"/>
          <w:shd w:val="clear" w:color="auto" w:fill="FFFFFF"/>
        </w:rPr>
        <w:t> (Doctoral dissertation, Walden University).</w:t>
      </w:r>
    </w:p>
    <w:p w14:paraId="5481D6AF" w14:textId="77777777" w:rsidR="000F5148" w:rsidRPr="000F5148" w:rsidRDefault="000F5148" w:rsidP="000F5148">
      <w:pPr>
        <w:ind w:firstLine="285"/>
        <w:jc w:val="both"/>
        <w:rPr>
          <w:color w:val="222222"/>
          <w:sz w:val="24"/>
          <w:szCs w:val="24"/>
          <w:shd w:val="clear" w:color="auto" w:fill="FFFFFF"/>
        </w:rPr>
      </w:pPr>
      <w:r w:rsidRPr="000F5148">
        <w:rPr>
          <w:color w:val="222222"/>
          <w:sz w:val="24"/>
          <w:szCs w:val="24"/>
          <w:shd w:val="clear" w:color="auto" w:fill="FFFFFF"/>
        </w:rPr>
        <w:t>Yazdifar*, H., &amp; Tsamenyi, M. (2005). Management accounting change and the changing roles of management accountants: a comparative analysis between dependent and independent organizations. </w:t>
      </w:r>
      <w:r w:rsidRPr="000F5148">
        <w:rPr>
          <w:i/>
          <w:iCs/>
          <w:color w:val="222222"/>
          <w:sz w:val="24"/>
          <w:szCs w:val="24"/>
          <w:shd w:val="clear" w:color="auto" w:fill="FFFFFF"/>
        </w:rPr>
        <w:t>Journal of Accounting &amp; Organizational Change</w:t>
      </w:r>
      <w:r w:rsidRPr="000F5148">
        <w:rPr>
          <w:color w:val="222222"/>
          <w:sz w:val="24"/>
          <w:szCs w:val="24"/>
          <w:shd w:val="clear" w:color="auto" w:fill="FFFFFF"/>
        </w:rPr>
        <w:t>, </w:t>
      </w:r>
      <w:r w:rsidRPr="000F5148">
        <w:rPr>
          <w:i/>
          <w:iCs/>
          <w:color w:val="222222"/>
          <w:sz w:val="24"/>
          <w:szCs w:val="24"/>
          <w:shd w:val="clear" w:color="auto" w:fill="FFFFFF"/>
        </w:rPr>
        <w:t>1</w:t>
      </w:r>
      <w:r w:rsidRPr="000F5148">
        <w:rPr>
          <w:color w:val="222222"/>
          <w:sz w:val="24"/>
          <w:szCs w:val="24"/>
          <w:shd w:val="clear" w:color="auto" w:fill="FFFFFF"/>
        </w:rPr>
        <w:t>(2), 180-198.</w:t>
      </w:r>
    </w:p>
    <w:sectPr w:rsidR="000F5148" w:rsidRPr="000F5148" w:rsidSect="00AF25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MqgFAIh87totAAAA"/>
  </w:docVars>
  <w:rsids>
    <w:rsidRoot w:val="000431DF"/>
    <w:rsid w:val="00014EBA"/>
    <w:rsid w:val="00042625"/>
    <w:rsid w:val="000431DF"/>
    <w:rsid w:val="000840B1"/>
    <w:rsid w:val="00092F89"/>
    <w:rsid w:val="000A4C89"/>
    <w:rsid w:val="000A5C75"/>
    <w:rsid w:val="000C0265"/>
    <w:rsid w:val="000C64D4"/>
    <w:rsid w:val="000F066B"/>
    <w:rsid w:val="000F5148"/>
    <w:rsid w:val="00124D0A"/>
    <w:rsid w:val="00124D5B"/>
    <w:rsid w:val="0013331F"/>
    <w:rsid w:val="001535F6"/>
    <w:rsid w:val="001579C3"/>
    <w:rsid w:val="0016740C"/>
    <w:rsid w:val="001927DA"/>
    <w:rsid w:val="001A5F60"/>
    <w:rsid w:val="001C2F88"/>
    <w:rsid w:val="001C3996"/>
    <w:rsid w:val="001D4A5A"/>
    <w:rsid w:val="001E062A"/>
    <w:rsid w:val="00214D30"/>
    <w:rsid w:val="00220419"/>
    <w:rsid w:val="00263B81"/>
    <w:rsid w:val="00265016"/>
    <w:rsid w:val="0027721A"/>
    <w:rsid w:val="002810A7"/>
    <w:rsid w:val="00285E02"/>
    <w:rsid w:val="002A1F6A"/>
    <w:rsid w:val="002D0FFC"/>
    <w:rsid w:val="002E0836"/>
    <w:rsid w:val="003129C5"/>
    <w:rsid w:val="00334A26"/>
    <w:rsid w:val="003355CA"/>
    <w:rsid w:val="00344B05"/>
    <w:rsid w:val="0034577A"/>
    <w:rsid w:val="0035580D"/>
    <w:rsid w:val="00362863"/>
    <w:rsid w:val="0036459C"/>
    <w:rsid w:val="003A4BD9"/>
    <w:rsid w:val="003B15DD"/>
    <w:rsid w:val="003B5E7C"/>
    <w:rsid w:val="003C187E"/>
    <w:rsid w:val="003F3879"/>
    <w:rsid w:val="00411ACC"/>
    <w:rsid w:val="00435D2B"/>
    <w:rsid w:val="00494C93"/>
    <w:rsid w:val="004A1DB1"/>
    <w:rsid w:val="004A2062"/>
    <w:rsid w:val="004D1953"/>
    <w:rsid w:val="004F42B8"/>
    <w:rsid w:val="00512B50"/>
    <w:rsid w:val="00531A92"/>
    <w:rsid w:val="00531B05"/>
    <w:rsid w:val="00560DBC"/>
    <w:rsid w:val="00566597"/>
    <w:rsid w:val="005740D7"/>
    <w:rsid w:val="0058143E"/>
    <w:rsid w:val="0059226A"/>
    <w:rsid w:val="00595B88"/>
    <w:rsid w:val="005A4BE8"/>
    <w:rsid w:val="005B460D"/>
    <w:rsid w:val="005C629E"/>
    <w:rsid w:val="00616E26"/>
    <w:rsid w:val="006656C4"/>
    <w:rsid w:val="00666617"/>
    <w:rsid w:val="00675F12"/>
    <w:rsid w:val="007041D9"/>
    <w:rsid w:val="0071126F"/>
    <w:rsid w:val="00712011"/>
    <w:rsid w:val="007150D0"/>
    <w:rsid w:val="0073062C"/>
    <w:rsid w:val="00732B6D"/>
    <w:rsid w:val="00754F93"/>
    <w:rsid w:val="00766F15"/>
    <w:rsid w:val="00775897"/>
    <w:rsid w:val="0078556C"/>
    <w:rsid w:val="0079124B"/>
    <w:rsid w:val="007A0A0C"/>
    <w:rsid w:val="007A2D1C"/>
    <w:rsid w:val="007A5EBD"/>
    <w:rsid w:val="007C3EFF"/>
    <w:rsid w:val="007D1463"/>
    <w:rsid w:val="007D254C"/>
    <w:rsid w:val="007E272F"/>
    <w:rsid w:val="007E3D78"/>
    <w:rsid w:val="007F1394"/>
    <w:rsid w:val="00811EFD"/>
    <w:rsid w:val="00823013"/>
    <w:rsid w:val="00824F62"/>
    <w:rsid w:val="0084713C"/>
    <w:rsid w:val="00856929"/>
    <w:rsid w:val="00861645"/>
    <w:rsid w:val="00876236"/>
    <w:rsid w:val="008A2B5A"/>
    <w:rsid w:val="008A444A"/>
    <w:rsid w:val="008B49D7"/>
    <w:rsid w:val="008C5454"/>
    <w:rsid w:val="008F0422"/>
    <w:rsid w:val="008F63DB"/>
    <w:rsid w:val="00904795"/>
    <w:rsid w:val="0092709A"/>
    <w:rsid w:val="00930C4C"/>
    <w:rsid w:val="00937FE1"/>
    <w:rsid w:val="00940F3E"/>
    <w:rsid w:val="0095603A"/>
    <w:rsid w:val="00987686"/>
    <w:rsid w:val="009918A5"/>
    <w:rsid w:val="009B0DA8"/>
    <w:rsid w:val="009C368A"/>
    <w:rsid w:val="009D5159"/>
    <w:rsid w:val="009F5B25"/>
    <w:rsid w:val="00A67AD6"/>
    <w:rsid w:val="00A71D50"/>
    <w:rsid w:val="00A873FE"/>
    <w:rsid w:val="00A94BB9"/>
    <w:rsid w:val="00AB1456"/>
    <w:rsid w:val="00AC0F8E"/>
    <w:rsid w:val="00AC4A5A"/>
    <w:rsid w:val="00AD54B2"/>
    <w:rsid w:val="00AF25E9"/>
    <w:rsid w:val="00AF79AF"/>
    <w:rsid w:val="00AF7B8A"/>
    <w:rsid w:val="00B06316"/>
    <w:rsid w:val="00B1204F"/>
    <w:rsid w:val="00B137BC"/>
    <w:rsid w:val="00B44426"/>
    <w:rsid w:val="00B86268"/>
    <w:rsid w:val="00BC1111"/>
    <w:rsid w:val="00BD4315"/>
    <w:rsid w:val="00BE7131"/>
    <w:rsid w:val="00C13DFF"/>
    <w:rsid w:val="00C150D8"/>
    <w:rsid w:val="00C23FFC"/>
    <w:rsid w:val="00C60FD5"/>
    <w:rsid w:val="00CB2B4D"/>
    <w:rsid w:val="00CB3FC2"/>
    <w:rsid w:val="00CD5FE9"/>
    <w:rsid w:val="00CE5343"/>
    <w:rsid w:val="00D6287C"/>
    <w:rsid w:val="00D94D1A"/>
    <w:rsid w:val="00DA2FC3"/>
    <w:rsid w:val="00DF18DB"/>
    <w:rsid w:val="00DF3AE7"/>
    <w:rsid w:val="00E2055C"/>
    <w:rsid w:val="00E33829"/>
    <w:rsid w:val="00E56171"/>
    <w:rsid w:val="00E8314C"/>
    <w:rsid w:val="00EA722B"/>
    <w:rsid w:val="00EB35F6"/>
    <w:rsid w:val="00EE29AA"/>
    <w:rsid w:val="00F065E6"/>
    <w:rsid w:val="00F67E55"/>
    <w:rsid w:val="00F72073"/>
    <w:rsid w:val="00FA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 w:type="character" w:customStyle="1" w:styleId="fontstyle11">
    <w:name w:val="fontstyle11"/>
    <w:basedOn w:val="DefaultParagraphFont"/>
    <w:rsid w:val="000F5148"/>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0F5148"/>
    <w:rPr>
      <w:rFonts w:ascii="Times-Italic" w:hAnsi="Times-Italic" w:hint="default"/>
      <w:b w:val="0"/>
      <w:bCs w:val="0"/>
      <w:i/>
      <w:iCs/>
      <w:color w:val="000000"/>
      <w:sz w:val="24"/>
      <w:szCs w:val="24"/>
    </w:rPr>
  </w:style>
  <w:style w:type="character" w:customStyle="1" w:styleId="fontstyle41">
    <w:name w:val="fontstyle41"/>
    <w:basedOn w:val="DefaultParagraphFont"/>
    <w:rsid w:val="000F5148"/>
    <w:rPr>
      <w:rFonts w:ascii="TimesNewRoman" w:hAnsi="TimesNew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18</cp:revision>
  <cp:lastPrinted>2025-01-08T09:36:00Z</cp:lastPrinted>
  <dcterms:created xsi:type="dcterms:W3CDTF">2025-06-12T07:40:00Z</dcterms:created>
  <dcterms:modified xsi:type="dcterms:W3CDTF">2025-10-11T04:46:00Z</dcterms:modified>
</cp:coreProperties>
</file>