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1260D" w:rsidRDefault="00635441" w:rsidP="00D56210">
      <w:pPr>
        <w:spacing w:after="0" w:line="240" w:lineRule="auto"/>
        <w:jc w:val="center"/>
        <w:rPr>
          <w:rFonts w:ascii="Times New Roman" w:hAnsi="Times New Roman" w:cs="Times New Roman"/>
          <w:b/>
          <w:bCs/>
          <w:sz w:val="26"/>
          <w:szCs w:val="26"/>
          <w:lang w:val="en-US"/>
        </w:rPr>
      </w:pPr>
      <w:r w:rsidRPr="00D56210">
        <w:rPr>
          <w:rFonts w:ascii="Times New Roman" w:hAnsi="Times New Roman" w:cs="Times New Roman"/>
          <w:b/>
          <w:bCs/>
          <w:sz w:val="26"/>
          <w:szCs w:val="26"/>
          <w:lang w:val="en-US"/>
        </w:rPr>
        <w:t>NHÓM CHỈ SỐ TÀI CHÍNH CẦN THIẾT CHO NHÀ ĐẦU TƯ</w:t>
      </w:r>
    </w:p>
    <w:p w:rsidR="00D56210" w:rsidRPr="00D56210" w:rsidRDefault="00D56210" w:rsidP="00D56210">
      <w:pPr>
        <w:spacing w:after="0" w:line="240" w:lineRule="auto"/>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 xml:space="preserve">Đinh Thị Thu </w:t>
      </w:r>
      <w:proofErr w:type="spellStart"/>
      <w:r>
        <w:rPr>
          <w:rFonts w:ascii="Times New Roman" w:hAnsi="Times New Roman" w:cs="Times New Roman"/>
          <w:b/>
          <w:bCs/>
          <w:sz w:val="26"/>
          <w:szCs w:val="26"/>
          <w:lang w:val="en-US"/>
        </w:rPr>
        <w:t>Hiền</w:t>
      </w:r>
      <w:proofErr w:type="spellEnd"/>
    </w:p>
    <w:p w:rsidR="00635441" w:rsidRPr="00D56210" w:rsidRDefault="00635441" w:rsidP="00D56210">
      <w:pPr>
        <w:spacing w:after="0" w:line="240" w:lineRule="auto"/>
        <w:jc w:val="both"/>
        <w:rPr>
          <w:rFonts w:ascii="Times New Roman" w:hAnsi="Times New Roman" w:cs="Times New Roman"/>
          <w:sz w:val="26"/>
          <w:szCs w:val="26"/>
          <w:lang w:val="en-US"/>
        </w:rPr>
      </w:pPr>
      <w:proofErr w:type="spellStart"/>
      <w:r w:rsidRPr="00D56210">
        <w:rPr>
          <w:rFonts w:ascii="Times New Roman" w:hAnsi="Times New Roman" w:cs="Times New Roman"/>
          <w:sz w:val="26"/>
          <w:szCs w:val="26"/>
          <w:lang w:val="en-US"/>
        </w:rPr>
        <w:t>Đối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với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các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nghiệp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ngoài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việc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quản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lý</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các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hoạt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động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kinh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chính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như</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sản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xuất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tiêu</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thụ</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quản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lý</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thì</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các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hoạt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động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liên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quan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đến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mở</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rộng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vốn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đầu</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tư</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cũng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trở</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nên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quan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trọng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hơn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bởi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đây</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nguồn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lực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làm</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bổ</w:t>
      </w:r>
      <w:proofErr w:type="spellEnd"/>
      <w:r w:rsidRPr="00D56210">
        <w:rPr>
          <w:rFonts w:ascii="Times New Roman" w:hAnsi="Times New Roman" w:cs="Times New Roman"/>
          <w:sz w:val="26"/>
          <w:szCs w:val="26"/>
          <w:lang w:val="en-US"/>
        </w:rPr>
        <w:t xml:space="preserve"> sung </w:t>
      </w:r>
      <w:proofErr w:type="spellStart"/>
      <w:r w:rsidRPr="00D56210">
        <w:rPr>
          <w:rFonts w:ascii="Times New Roman" w:hAnsi="Times New Roman" w:cs="Times New Roman"/>
          <w:sz w:val="26"/>
          <w:szCs w:val="26"/>
          <w:lang w:val="en-US"/>
        </w:rPr>
        <w:t>nguồn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vốn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kinh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cho</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nghiệp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Đối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với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các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đầu</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tư</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việc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lựa</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chọn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nghiệp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hoạt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động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kinh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có</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hiệu</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quả</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để</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góp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vốn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nhằm</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tối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đa</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hoá</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số</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vốn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góp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với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khả</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năng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sinh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lời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cao</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nhất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vấn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đề</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rất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quan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trọng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bởi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đa</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số</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các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nghiệp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có</w:t>
      </w:r>
      <w:proofErr w:type="spellEnd"/>
      <w:r w:rsidRPr="00D56210">
        <w:rPr>
          <w:rFonts w:ascii="Times New Roman" w:hAnsi="Times New Roman" w:cs="Times New Roman"/>
          <w:sz w:val="26"/>
          <w:szCs w:val="26"/>
          <w:lang w:val="en-US"/>
        </w:rPr>
        <w:t xml:space="preserve"> xu </w:t>
      </w:r>
      <w:proofErr w:type="spellStart"/>
      <w:r w:rsidRPr="00D56210">
        <w:rPr>
          <w:rFonts w:ascii="Times New Roman" w:hAnsi="Times New Roman" w:cs="Times New Roman"/>
          <w:sz w:val="26"/>
          <w:szCs w:val="26"/>
          <w:lang w:val="en-US"/>
        </w:rPr>
        <w:t>hướng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làm</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đẹp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cho</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bộ</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số</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liệu</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của</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mình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Để</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vừa</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đáp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ứng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mục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đích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của</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quản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trị</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đầu</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tư</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công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cụ</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phân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tích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tài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chính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luôn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được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sử</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dụng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nhằm</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thực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hiện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tốt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nhất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nhu</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cầu</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của</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các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đối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tượng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quan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tâm</w:t>
      </w:r>
      <w:proofErr w:type="spellEnd"/>
      <w:r w:rsidRPr="00D56210">
        <w:rPr>
          <w:rFonts w:ascii="Times New Roman" w:hAnsi="Times New Roman" w:cs="Times New Roman"/>
          <w:sz w:val="26"/>
          <w:szCs w:val="26"/>
          <w:lang w:val="en-US"/>
        </w:rPr>
        <w:t xml:space="preserve">. Các </w:t>
      </w:r>
      <w:proofErr w:type="spellStart"/>
      <w:r w:rsidRPr="00D56210">
        <w:rPr>
          <w:rFonts w:ascii="Times New Roman" w:hAnsi="Times New Roman" w:cs="Times New Roman"/>
          <w:sz w:val="26"/>
          <w:szCs w:val="26"/>
          <w:lang w:val="en-US"/>
        </w:rPr>
        <w:t>chỉ</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số</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tài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chính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được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phân</w:t>
      </w:r>
      <w:proofErr w:type="spellEnd"/>
      <w:r w:rsidRPr="00D56210">
        <w:rPr>
          <w:rFonts w:ascii="Times New Roman" w:hAnsi="Times New Roman" w:cs="Times New Roman"/>
          <w:sz w:val="26"/>
          <w:szCs w:val="26"/>
          <w:lang w:val="en-US"/>
        </w:rPr>
        <w:t xml:space="preserve"> chia </w:t>
      </w:r>
      <w:proofErr w:type="spellStart"/>
      <w:r w:rsidRPr="00D56210">
        <w:rPr>
          <w:rFonts w:ascii="Times New Roman" w:hAnsi="Times New Roman" w:cs="Times New Roman"/>
          <w:sz w:val="26"/>
          <w:szCs w:val="26"/>
          <w:lang w:val="en-US"/>
        </w:rPr>
        <w:t>thành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nhiều</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nhóm</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mỗi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nhóm</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thực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hiện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một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chức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năng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riêng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biệt</w:t>
      </w:r>
      <w:proofErr w:type="spellEnd"/>
      <w:r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Với</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các</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nhà</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đầu</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tư</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việc</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sử</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dụng</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các</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chỉ</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số</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tài</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chính</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có</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thể</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đánh</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giá</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nhận</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xét</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về</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kết</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quả</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hoạt</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động</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của</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doanh</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nghiệp</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và</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đưa</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ra</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quyết</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định</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cần</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thiết</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đầu</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tư</w:t>
      </w:r>
      <w:proofErr w:type="spellEnd"/>
      <w:r w:rsidR="00FF07CD" w:rsidRPr="00D56210">
        <w:rPr>
          <w:rFonts w:ascii="Times New Roman" w:hAnsi="Times New Roman" w:cs="Times New Roman"/>
          <w:sz w:val="26"/>
          <w:szCs w:val="26"/>
          <w:lang w:val="en-US"/>
        </w:rPr>
        <w:t xml:space="preserve"> hay </w:t>
      </w:r>
      <w:proofErr w:type="spellStart"/>
      <w:r w:rsidR="00FF07CD" w:rsidRPr="00D56210">
        <w:rPr>
          <w:rFonts w:ascii="Times New Roman" w:hAnsi="Times New Roman" w:cs="Times New Roman"/>
          <w:sz w:val="26"/>
          <w:szCs w:val="26"/>
          <w:lang w:val="en-US"/>
        </w:rPr>
        <w:t>rút</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vốn</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Bài</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viết</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đề</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cập</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đến</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các</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chỉ</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số</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tài</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chính</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cần</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thiết</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cho</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các</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nhà</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đầu</w:t>
      </w:r>
      <w:proofErr w:type="spellEnd"/>
      <w:r w:rsidR="00FF07CD" w:rsidRPr="00D56210">
        <w:rPr>
          <w:rFonts w:ascii="Times New Roman" w:hAnsi="Times New Roman" w:cs="Times New Roman"/>
          <w:sz w:val="26"/>
          <w:szCs w:val="26"/>
          <w:lang w:val="en-US"/>
        </w:rPr>
        <w:t xml:space="preserve"> </w:t>
      </w:r>
      <w:proofErr w:type="spellStart"/>
      <w:r w:rsidR="00FF07CD" w:rsidRPr="00D56210">
        <w:rPr>
          <w:rFonts w:ascii="Times New Roman" w:hAnsi="Times New Roman" w:cs="Times New Roman"/>
          <w:sz w:val="26"/>
          <w:szCs w:val="26"/>
          <w:lang w:val="en-US"/>
        </w:rPr>
        <w:t>tư</w:t>
      </w:r>
      <w:proofErr w:type="spellEnd"/>
      <w:r w:rsidR="00FF07CD" w:rsidRPr="00D56210">
        <w:rPr>
          <w:rFonts w:ascii="Times New Roman" w:hAnsi="Times New Roman" w:cs="Times New Roman"/>
          <w:sz w:val="26"/>
          <w:szCs w:val="26"/>
          <w:lang w:val="en-US"/>
        </w:rPr>
        <w:t xml:space="preserve">. </w:t>
      </w:r>
    </w:p>
    <w:p w:rsidR="00FF07CD" w:rsidRPr="00D56210" w:rsidRDefault="00FF07CD" w:rsidP="00D56210">
      <w:pPr>
        <w:spacing w:after="0" w:line="240" w:lineRule="auto"/>
        <w:jc w:val="both"/>
        <w:rPr>
          <w:rFonts w:ascii="Times New Roman" w:hAnsi="Times New Roman" w:cs="Times New Roman"/>
          <w:sz w:val="26"/>
          <w:szCs w:val="26"/>
          <w:lang w:val="en-US"/>
        </w:rPr>
      </w:pPr>
      <w:proofErr w:type="spellStart"/>
      <w:r w:rsidRPr="00D56210">
        <w:rPr>
          <w:rFonts w:ascii="Times New Roman" w:hAnsi="Times New Roman" w:cs="Times New Roman"/>
          <w:sz w:val="26"/>
          <w:szCs w:val="26"/>
          <w:lang w:val="en-US"/>
        </w:rPr>
        <w:t>Có</w:t>
      </w:r>
      <w:proofErr w:type="spellEnd"/>
      <w:r w:rsidRPr="00D56210">
        <w:rPr>
          <w:rFonts w:ascii="Times New Roman" w:hAnsi="Times New Roman" w:cs="Times New Roman"/>
          <w:sz w:val="26"/>
          <w:szCs w:val="26"/>
          <w:lang w:val="en-US"/>
        </w:rPr>
        <w:t xml:space="preserve"> </w:t>
      </w:r>
      <w:r w:rsidR="00D56210">
        <w:rPr>
          <w:rFonts w:ascii="Times New Roman" w:hAnsi="Times New Roman" w:cs="Times New Roman"/>
          <w:sz w:val="26"/>
          <w:szCs w:val="26"/>
          <w:lang w:val="en-US"/>
        </w:rPr>
        <w:t>2</w:t>
      </w:r>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nhóm</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chỉ</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số</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tài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chính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quan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trọng</w:t>
      </w:r>
      <w:proofErr w:type="spellEnd"/>
    </w:p>
    <w:p w:rsidR="00FF07CD" w:rsidRPr="00D56210" w:rsidRDefault="00FF07CD" w:rsidP="00D56210">
      <w:pPr>
        <w:spacing w:after="0" w:line="240" w:lineRule="auto"/>
        <w:jc w:val="both"/>
        <w:rPr>
          <w:rFonts w:ascii="Times New Roman" w:hAnsi="Times New Roman" w:cs="Times New Roman"/>
          <w:b/>
          <w:bCs/>
          <w:sz w:val="26"/>
          <w:szCs w:val="26"/>
          <w:lang w:val="en-US"/>
        </w:rPr>
      </w:pPr>
      <w:r w:rsidRPr="00D56210">
        <w:rPr>
          <w:rFonts w:ascii="Times New Roman" w:hAnsi="Times New Roman" w:cs="Times New Roman"/>
          <w:b/>
          <w:bCs/>
          <w:sz w:val="26"/>
          <w:szCs w:val="26"/>
          <w:lang w:val="en-US"/>
        </w:rPr>
        <w:t xml:space="preserve">1. </w:t>
      </w:r>
      <w:proofErr w:type="spellStart"/>
      <w:r w:rsidRPr="00D56210">
        <w:rPr>
          <w:rFonts w:ascii="Times New Roman" w:hAnsi="Times New Roman" w:cs="Times New Roman"/>
          <w:b/>
          <w:bCs/>
          <w:sz w:val="26"/>
          <w:szCs w:val="26"/>
          <w:lang w:val="en-US"/>
        </w:rPr>
        <w:t>Nhóm</w:t>
      </w:r>
      <w:proofErr w:type="spellEnd"/>
      <w:r w:rsidRPr="00D56210">
        <w:rPr>
          <w:rFonts w:ascii="Times New Roman" w:hAnsi="Times New Roman" w:cs="Times New Roman"/>
          <w:b/>
          <w:bCs/>
          <w:sz w:val="26"/>
          <w:szCs w:val="26"/>
          <w:lang w:val="en-US"/>
        </w:rPr>
        <w:t xml:space="preserve"> </w:t>
      </w:r>
      <w:proofErr w:type="spellStart"/>
      <w:r w:rsidRPr="00D56210">
        <w:rPr>
          <w:rFonts w:ascii="Times New Roman" w:hAnsi="Times New Roman" w:cs="Times New Roman"/>
          <w:b/>
          <w:bCs/>
          <w:sz w:val="26"/>
          <w:szCs w:val="26"/>
          <w:lang w:val="en-US"/>
        </w:rPr>
        <w:t>chỉ</w:t>
      </w:r>
      <w:proofErr w:type="spellEnd"/>
      <w:r w:rsidRPr="00D56210">
        <w:rPr>
          <w:rFonts w:ascii="Times New Roman" w:hAnsi="Times New Roman" w:cs="Times New Roman"/>
          <w:b/>
          <w:bCs/>
          <w:sz w:val="26"/>
          <w:szCs w:val="26"/>
          <w:lang w:val="en-US"/>
        </w:rPr>
        <w:t xml:space="preserve"> </w:t>
      </w:r>
      <w:proofErr w:type="spellStart"/>
      <w:r w:rsidRPr="00D56210">
        <w:rPr>
          <w:rFonts w:ascii="Times New Roman" w:hAnsi="Times New Roman" w:cs="Times New Roman"/>
          <w:b/>
          <w:bCs/>
          <w:sz w:val="26"/>
          <w:szCs w:val="26"/>
          <w:lang w:val="en-US"/>
        </w:rPr>
        <w:t>số</w:t>
      </w:r>
      <w:proofErr w:type="spellEnd"/>
      <w:r w:rsidRPr="00D56210">
        <w:rPr>
          <w:rFonts w:ascii="Times New Roman" w:hAnsi="Times New Roman" w:cs="Times New Roman"/>
          <w:b/>
          <w:bCs/>
          <w:sz w:val="26"/>
          <w:szCs w:val="26"/>
          <w:lang w:val="en-US"/>
        </w:rPr>
        <w:t xml:space="preserve"> </w:t>
      </w:r>
      <w:proofErr w:type="spellStart"/>
      <w:r w:rsidRPr="00D56210">
        <w:rPr>
          <w:rFonts w:ascii="Times New Roman" w:hAnsi="Times New Roman" w:cs="Times New Roman"/>
          <w:b/>
          <w:bCs/>
          <w:sz w:val="26"/>
          <w:szCs w:val="26"/>
          <w:lang w:val="en-US"/>
        </w:rPr>
        <w:t>về</w:t>
      </w:r>
      <w:proofErr w:type="spellEnd"/>
      <w:r w:rsidRPr="00D56210">
        <w:rPr>
          <w:rFonts w:ascii="Times New Roman" w:hAnsi="Times New Roman" w:cs="Times New Roman"/>
          <w:b/>
          <w:bCs/>
          <w:sz w:val="26"/>
          <w:szCs w:val="26"/>
          <w:lang w:val="en-US"/>
        </w:rPr>
        <w:t xml:space="preserve"> </w:t>
      </w:r>
      <w:proofErr w:type="spellStart"/>
      <w:r w:rsidRPr="00D56210">
        <w:rPr>
          <w:rFonts w:ascii="Times New Roman" w:hAnsi="Times New Roman" w:cs="Times New Roman"/>
          <w:b/>
          <w:bCs/>
          <w:sz w:val="26"/>
          <w:szCs w:val="26"/>
          <w:lang w:val="en-US"/>
        </w:rPr>
        <w:t>lợi</w:t>
      </w:r>
      <w:proofErr w:type="spellEnd"/>
      <w:r w:rsidRPr="00D56210">
        <w:rPr>
          <w:rFonts w:ascii="Times New Roman" w:hAnsi="Times New Roman" w:cs="Times New Roman"/>
          <w:b/>
          <w:bCs/>
          <w:sz w:val="26"/>
          <w:szCs w:val="26"/>
          <w:lang w:val="en-US"/>
        </w:rPr>
        <w:t xml:space="preserve"> </w:t>
      </w:r>
      <w:proofErr w:type="spellStart"/>
      <w:r w:rsidRPr="00D56210">
        <w:rPr>
          <w:rFonts w:ascii="Times New Roman" w:hAnsi="Times New Roman" w:cs="Times New Roman"/>
          <w:b/>
          <w:bCs/>
          <w:sz w:val="26"/>
          <w:szCs w:val="26"/>
          <w:lang w:val="en-US"/>
        </w:rPr>
        <w:t>nhuận</w:t>
      </w:r>
      <w:proofErr w:type="spellEnd"/>
    </w:p>
    <w:p w:rsidR="00FF07CD" w:rsidRPr="00D56210" w:rsidRDefault="00FF07CD" w:rsidP="00D56210">
      <w:pPr>
        <w:spacing w:after="0" w:line="240" w:lineRule="auto"/>
        <w:jc w:val="both"/>
        <w:rPr>
          <w:rFonts w:ascii="Times New Roman" w:hAnsi="Times New Roman" w:cs="Times New Roman"/>
          <w:sz w:val="26"/>
          <w:szCs w:val="26"/>
          <w:lang w:val="en-US"/>
        </w:rPr>
      </w:pPr>
      <w:proofErr w:type="spellStart"/>
      <w:r w:rsidRPr="00D56210">
        <w:rPr>
          <w:rFonts w:ascii="Times New Roman" w:hAnsi="Times New Roman" w:cs="Times New Roman"/>
          <w:sz w:val="26"/>
          <w:szCs w:val="26"/>
          <w:lang w:val="en-US"/>
        </w:rPr>
        <w:t>Đây</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được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xem</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nhóm</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chỉ</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số</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quan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trọng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nhất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vì</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đánh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giá</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kết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quả</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hoạt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động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kinh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của</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nghiệp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trong</w:t>
      </w:r>
      <w:proofErr w:type="spellEnd"/>
      <w:r w:rsidRPr="00D56210">
        <w:rPr>
          <w:rFonts w:ascii="Times New Roman" w:hAnsi="Times New Roman" w:cs="Times New Roman"/>
          <w:sz w:val="26"/>
          <w:szCs w:val="26"/>
          <w:lang w:val="en-US"/>
        </w:rPr>
        <w:t xml:space="preserve"> 1 </w:t>
      </w:r>
      <w:proofErr w:type="spellStart"/>
      <w:r w:rsidRPr="00D56210">
        <w:rPr>
          <w:rFonts w:ascii="Times New Roman" w:hAnsi="Times New Roman" w:cs="Times New Roman"/>
          <w:sz w:val="26"/>
          <w:szCs w:val="26"/>
          <w:lang w:val="en-US"/>
        </w:rPr>
        <w:t>năm</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tỷ</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lệ</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gia</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tăng</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lợi</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nhuận</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cao</w:t>
      </w:r>
      <w:proofErr w:type="spellEnd"/>
      <w:r w:rsidR="002A39D5" w:rsidRPr="00D56210">
        <w:rPr>
          <w:rFonts w:ascii="Times New Roman" w:hAnsi="Times New Roman" w:cs="Times New Roman"/>
          <w:sz w:val="26"/>
          <w:szCs w:val="26"/>
          <w:lang w:val="en-US"/>
        </w:rPr>
        <w:t xml:space="preserve"> hay </w:t>
      </w:r>
      <w:proofErr w:type="spellStart"/>
      <w:r w:rsidR="002A39D5" w:rsidRPr="00D56210">
        <w:rPr>
          <w:rFonts w:ascii="Times New Roman" w:hAnsi="Times New Roman" w:cs="Times New Roman"/>
          <w:sz w:val="26"/>
          <w:szCs w:val="26"/>
          <w:lang w:val="en-US"/>
        </w:rPr>
        <w:t>thấp</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ảnh</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hưởng</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đến</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toàn</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bộ</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hoạt</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động</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trong</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doanh</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nghiệp</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và</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ảnh</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hưởng</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đến</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khả</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năng</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góp</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vốn</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của</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các</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nhà</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đầu</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tư</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Giúp</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đánh</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giá</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được</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khả</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năng</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kiếm</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lợi</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nhuận</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từ</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hoạt</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động</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kinh</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doanh</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của</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công</w:t>
      </w:r>
      <w:proofErr w:type="spellEnd"/>
      <w:r w:rsidR="002A39D5" w:rsidRPr="00D56210">
        <w:rPr>
          <w:rFonts w:ascii="Times New Roman" w:hAnsi="Times New Roman" w:cs="Times New Roman"/>
          <w:sz w:val="26"/>
          <w:szCs w:val="26"/>
          <w:lang w:val="en-US"/>
        </w:rPr>
        <w:t xml:space="preserve"> ty, </w:t>
      </w:r>
      <w:proofErr w:type="spellStart"/>
      <w:r w:rsidR="002A39D5" w:rsidRPr="00D56210">
        <w:rPr>
          <w:rFonts w:ascii="Times New Roman" w:hAnsi="Times New Roman" w:cs="Times New Roman"/>
          <w:sz w:val="26"/>
          <w:szCs w:val="26"/>
          <w:lang w:val="en-US"/>
        </w:rPr>
        <w:t>từ</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đó</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đánh</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giá</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được</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khả</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năng</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quản</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lý</w:t>
      </w:r>
      <w:proofErr w:type="spellEnd"/>
      <w:r w:rsidR="002A39D5" w:rsidRPr="00D56210">
        <w:rPr>
          <w:rFonts w:ascii="Times New Roman" w:hAnsi="Times New Roman" w:cs="Times New Roman"/>
          <w:sz w:val="26"/>
          <w:szCs w:val="26"/>
          <w:lang w:val="en-US"/>
        </w:rPr>
        <w:t xml:space="preserve"> chi </w:t>
      </w:r>
      <w:proofErr w:type="spellStart"/>
      <w:r w:rsidR="002A39D5" w:rsidRPr="00D56210">
        <w:rPr>
          <w:rFonts w:ascii="Times New Roman" w:hAnsi="Times New Roman" w:cs="Times New Roman"/>
          <w:sz w:val="26"/>
          <w:szCs w:val="26"/>
          <w:lang w:val="en-US"/>
        </w:rPr>
        <w:t>phí</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và</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doanh</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thu</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có</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được</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trong</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năm</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của</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doanh</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nghiệp</w:t>
      </w:r>
      <w:proofErr w:type="spellEnd"/>
      <w:r w:rsidR="002A39D5" w:rsidRPr="00D56210">
        <w:rPr>
          <w:rFonts w:ascii="Times New Roman" w:hAnsi="Times New Roman" w:cs="Times New Roman"/>
          <w:sz w:val="26"/>
          <w:szCs w:val="26"/>
          <w:lang w:val="en-US"/>
        </w:rPr>
        <w:t xml:space="preserve">. Các </w:t>
      </w:r>
      <w:proofErr w:type="spellStart"/>
      <w:r w:rsidR="002A39D5" w:rsidRPr="00D56210">
        <w:rPr>
          <w:rFonts w:ascii="Times New Roman" w:hAnsi="Times New Roman" w:cs="Times New Roman"/>
          <w:sz w:val="26"/>
          <w:szCs w:val="26"/>
          <w:lang w:val="en-US"/>
        </w:rPr>
        <w:t>tỷ</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số</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về</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lợi</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nhuận</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như</w:t>
      </w:r>
      <w:proofErr w:type="spellEnd"/>
    </w:p>
    <w:p w:rsidR="002A39D5" w:rsidRPr="00D56210" w:rsidRDefault="00F0405A" w:rsidP="00D56210">
      <w:pPr>
        <w:spacing w:after="0" w:line="240" w:lineRule="auto"/>
        <w:jc w:val="both"/>
        <w:rPr>
          <w:rFonts w:ascii="Times New Roman" w:hAnsi="Times New Roman" w:cs="Times New Roman"/>
          <w:sz w:val="26"/>
          <w:szCs w:val="26"/>
          <w:lang w:val="en-US"/>
        </w:rPr>
      </w:pPr>
      <w:r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b/>
          <w:bCs/>
          <w:sz w:val="26"/>
          <w:szCs w:val="26"/>
          <w:lang w:val="en-US"/>
        </w:rPr>
        <w:t>Tỷ</w:t>
      </w:r>
      <w:proofErr w:type="spellEnd"/>
      <w:r w:rsidR="002A39D5" w:rsidRPr="00D56210">
        <w:rPr>
          <w:rFonts w:ascii="Times New Roman" w:hAnsi="Times New Roman" w:cs="Times New Roman"/>
          <w:b/>
          <w:bCs/>
          <w:sz w:val="26"/>
          <w:szCs w:val="26"/>
          <w:lang w:val="en-US"/>
        </w:rPr>
        <w:t xml:space="preserve"> </w:t>
      </w:r>
      <w:proofErr w:type="spellStart"/>
      <w:r w:rsidR="002A39D5" w:rsidRPr="00D56210">
        <w:rPr>
          <w:rFonts w:ascii="Times New Roman" w:hAnsi="Times New Roman" w:cs="Times New Roman"/>
          <w:b/>
          <w:bCs/>
          <w:sz w:val="26"/>
          <w:szCs w:val="26"/>
          <w:lang w:val="en-US"/>
        </w:rPr>
        <w:t>suất</w:t>
      </w:r>
      <w:proofErr w:type="spellEnd"/>
      <w:r w:rsidR="002A39D5" w:rsidRPr="00D56210">
        <w:rPr>
          <w:rFonts w:ascii="Times New Roman" w:hAnsi="Times New Roman" w:cs="Times New Roman"/>
          <w:b/>
          <w:bCs/>
          <w:sz w:val="26"/>
          <w:szCs w:val="26"/>
          <w:lang w:val="en-US"/>
        </w:rPr>
        <w:t xml:space="preserve"> </w:t>
      </w:r>
      <w:proofErr w:type="spellStart"/>
      <w:r w:rsidR="002A39D5" w:rsidRPr="00D56210">
        <w:rPr>
          <w:rFonts w:ascii="Times New Roman" w:hAnsi="Times New Roman" w:cs="Times New Roman"/>
          <w:b/>
          <w:bCs/>
          <w:sz w:val="26"/>
          <w:szCs w:val="26"/>
          <w:lang w:val="en-US"/>
        </w:rPr>
        <w:t>lợi</w:t>
      </w:r>
      <w:proofErr w:type="spellEnd"/>
      <w:r w:rsidR="002A39D5" w:rsidRPr="00D56210">
        <w:rPr>
          <w:rFonts w:ascii="Times New Roman" w:hAnsi="Times New Roman" w:cs="Times New Roman"/>
          <w:b/>
          <w:bCs/>
          <w:sz w:val="26"/>
          <w:szCs w:val="26"/>
          <w:lang w:val="en-US"/>
        </w:rPr>
        <w:t xml:space="preserve"> </w:t>
      </w:r>
      <w:proofErr w:type="spellStart"/>
      <w:r w:rsidR="002A39D5" w:rsidRPr="00D56210">
        <w:rPr>
          <w:rFonts w:ascii="Times New Roman" w:hAnsi="Times New Roman" w:cs="Times New Roman"/>
          <w:b/>
          <w:bCs/>
          <w:sz w:val="26"/>
          <w:szCs w:val="26"/>
          <w:lang w:val="en-US"/>
        </w:rPr>
        <w:t>nhuận</w:t>
      </w:r>
      <w:proofErr w:type="spellEnd"/>
      <w:r w:rsidR="002A39D5" w:rsidRPr="00D56210">
        <w:rPr>
          <w:rFonts w:ascii="Times New Roman" w:hAnsi="Times New Roman" w:cs="Times New Roman"/>
          <w:b/>
          <w:bCs/>
          <w:sz w:val="26"/>
          <w:szCs w:val="26"/>
          <w:lang w:val="en-US"/>
        </w:rPr>
        <w:t xml:space="preserve"> </w:t>
      </w:r>
      <w:proofErr w:type="spellStart"/>
      <w:r w:rsidR="002A39D5" w:rsidRPr="00D56210">
        <w:rPr>
          <w:rFonts w:ascii="Times New Roman" w:hAnsi="Times New Roman" w:cs="Times New Roman"/>
          <w:b/>
          <w:bCs/>
          <w:sz w:val="26"/>
          <w:szCs w:val="26"/>
          <w:lang w:val="en-US"/>
        </w:rPr>
        <w:t>gộp</w:t>
      </w:r>
      <w:proofErr w:type="spellEnd"/>
      <w:r w:rsidR="002A39D5" w:rsidRPr="00D56210">
        <w:rPr>
          <w:rFonts w:ascii="Times New Roman" w:hAnsi="Times New Roman" w:cs="Times New Roman"/>
          <w:sz w:val="26"/>
          <w:szCs w:val="26"/>
          <w:lang w:val="en-US"/>
        </w:rPr>
        <w:t xml:space="preserve"> = Lợi </w:t>
      </w:r>
      <w:proofErr w:type="spellStart"/>
      <w:r w:rsidR="002A39D5" w:rsidRPr="00D56210">
        <w:rPr>
          <w:rFonts w:ascii="Times New Roman" w:hAnsi="Times New Roman" w:cs="Times New Roman"/>
          <w:sz w:val="26"/>
          <w:szCs w:val="26"/>
          <w:lang w:val="en-US"/>
        </w:rPr>
        <w:t>nhuận</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gộp</w:t>
      </w:r>
      <w:proofErr w:type="spellEnd"/>
      <w:r w:rsidR="002A39D5" w:rsidRPr="00D56210">
        <w:rPr>
          <w:rFonts w:ascii="Times New Roman" w:hAnsi="Times New Roman" w:cs="Times New Roman"/>
          <w:sz w:val="26"/>
          <w:szCs w:val="26"/>
          <w:lang w:val="en-US"/>
        </w:rPr>
        <w:t xml:space="preserve">/ Doanh </w:t>
      </w:r>
      <w:proofErr w:type="spellStart"/>
      <w:r w:rsidR="002A39D5" w:rsidRPr="00D56210">
        <w:rPr>
          <w:rFonts w:ascii="Times New Roman" w:hAnsi="Times New Roman" w:cs="Times New Roman"/>
          <w:sz w:val="26"/>
          <w:szCs w:val="26"/>
          <w:lang w:val="en-US"/>
        </w:rPr>
        <w:t>thu</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thuần</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bán</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hàng</w:t>
      </w:r>
      <w:proofErr w:type="spellEnd"/>
      <w:r w:rsidR="002A39D5" w:rsidRPr="00D56210">
        <w:rPr>
          <w:rFonts w:ascii="Times New Roman" w:hAnsi="Times New Roman" w:cs="Times New Roman"/>
          <w:sz w:val="26"/>
          <w:szCs w:val="26"/>
          <w:lang w:val="en-US"/>
        </w:rPr>
        <w:t xml:space="preserve"> &amp; </w:t>
      </w:r>
      <w:proofErr w:type="spellStart"/>
      <w:r w:rsidR="002A39D5" w:rsidRPr="00D56210">
        <w:rPr>
          <w:rFonts w:ascii="Times New Roman" w:hAnsi="Times New Roman" w:cs="Times New Roman"/>
          <w:sz w:val="26"/>
          <w:szCs w:val="26"/>
          <w:lang w:val="en-US"/>
        </w:rPr>
        <w:t>cung</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cấp</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dịch</w:t>
      </w:r>
      <w:proofErr w:type="spellEnd"/>
      <w:r w:rsidR="002A39D5" w:rsidRPr="00D56210">
        <w:rPr>
          <w:rFonts w:ascii="Times New Roman" w:hAnsi="Times New Roman" w:cs="Times New Roman"/>
          <w:sz w:val="26"/>
          <w:szCs w:val="26"/>
          <w:lang w:val="en-US"/>
        </w:rPr>
        <w:t xml:space="preserve"> </w:t>
      </w:r>
      <w:proofErr w:type="spellStart"/>
      <w:r w:rsidR="002A39D5" w:rsidRPr="00D56210">
        <w:rPr>
          <w:rFonts w:ascii="Times New Roman" w:hAnsi="Times New Roman" w:cs="Times New Roman"/>
          <w:sz w:val="26"/>
          <w:szCs w:val="26"/>
          <w:lang w:val="en-US"/>
        </w:rPr>
        <w:t>vụ</w:t>
      </w:r>
      <w:proofErr w:type="spellEnd"/>
    </w:p>
    <w:p w:rsidR="002A39D5" w:rsidRPr="00D56210" w:rsidRDefault="002A39D5"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proofErr w:type="spellStart"/>
      <w:r w:rsidRPr="00D56210">
        <w:rPr>
          <w:rFonts w:ascii="Times New Roman" w:hAnsi="Times New Roman" w:cs="Times New Roman"/>
          <w:sz w:val="26"/>
          <w:szCs w:val="26"/>
          <w:lang w:val="en-US"/>
        </w:rPr>
        <w:t>Kết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quả</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của</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tỷ</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suất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này</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rất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quan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trọng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bởi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đây</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khả</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năng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sinh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lời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từ</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hoạt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động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chính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trong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nghiệp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đó</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hoạt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động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bán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hàng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cung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cấp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dịch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vụ</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Đây</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hoạt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động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có</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tính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chất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quyết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định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đến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toàn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bộ</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hoạt</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động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còn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lại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trong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nghiệp</w:t>
      </w:r>
      <w:proofErr w:type="spellEnd"/>
      <w:r w:rsidRPr="00D56210">
        <w:rPr>
          <w:rFonts w:ascii="Times New Roman" w:hAnsi="Times New Roman" w:cs="Times New Roman"/>
          <w:sz w:val="26"/>
          <w:szCs w:val="26"/>
          <w:lang w:val="en-US"/>
        </w:rPr>
        <w:t xml:space="preserve">. Các </w:t>
      </w:r>
      <w:proofErr w:type="spellStart"/>
      <w:r w:rsidRPr="00D56210">
        <w:rPr>
          <w:rFonts w:ascii="Times New Roman" w:hAnsi="Times New Roman" w:cs="Times New Roman"/>
          <w:sz w:val="26"/>
          <w:szCs w:val="26"/>
          <w:lang w:val="en-US"/>
        </w:rPr>
        <w:t>nhà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đầu</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tư</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thường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xuyên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đánh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giá</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tỷ</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số</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này</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nhằm</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xác</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định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khả</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năng</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tạo</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lãi</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và</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quá</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trình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quản</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lý</w:t>
      </w:r>
      <w:proofErr w:type="spellEnd"/>
      <w:r w:rsidRPr="00D56210">
        <w:rPr>
          <w:rFonts w:ascii="Times New Roman" w:hAnsi="Times New Roman" w:cs="Times New Roman"/>
          <w:sz w:val="26"/>
          <w:szCs w:val="26"/>
          <w:lang w:val="en-US"/>
        </w:rPr>
        <w:t xml:space="preserve"> chi </w:t>
      </w:r>
      <w:proofErr w:type="spellStart"/>
      <w:r w:rsidRPr="00D56210">
        <w:rPr>
          <w:rFonts w:ascii="Times New Roman" w:hAnsi="Times New Roman" w:cs="Times New Roman"/>
          <w:sz w:val="26"/>
          <w:szCs w:val="26"/>
          <w:lang w:val="en-US"/>
        </w:rPr>
        <w:t>phí</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của</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doanh</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nghiệp</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có</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hiệu</w:t>
      </w:r>
      <w:proofErr w:type="spellEnd"/>
      <w:r w:rsidRPr="00D56210">
        <w:rPr>
          <w:rFonts w:ascii="Times New Roman" w:hAnsi="Times New Roman" w:cs="Times New Roman"/>
          <w:sz w:val="26"/>
          <w:szCs w:val="26"/>
          <w:lang w:val="en-US"/>
        </w:rPr>
        <w:t xml:space="preserve"> </w:t>
      </w:r>
      <w:proofErr w:type="spellStart"/>
      <w:r w:rsidRPr="00D56210">
        <w:rPr>
          <w:rFonts w:ascii="Times New Roman" w:hAnsi="Times New Roman" w:cs="Times New Roman"/>
          <w:sz w:val="26"/>
          <w:szCs w:val="26"/>
          <w:lang w:val="en-US"/>
        </w:rPr>
        <w:t>quả</w:t>
      </w:r>
      <w:proofErr w:type="spellEnd"/>
      <w:r w:rsidRPr="00D56210">
        <w:rPr>
          <w:rFonts w:ascii="Times New Roman" w:hAnsi="Times New Roman" w:cs="Times New Roman"/>
          <w:sz w:val="26"/>
          <w:szCs w:val="26"/>
          <w:lang w:val="en-US"/>
        </w:rPr>
        <w:t xml:space="preserve"> hay </w:t>
      </w:r>
      <w:proofErr w:type="spellStart"/>
      <w:r w:rsidRPr="00D56210">
        <w:rPr>
          <w:rFonts w:ascii="Times New Roman" w:hAnsi="Times New Roman" w:cs="Times New Roman"/>
          <w:sz w:val="26"/>
          <w:szCs w:val="26"/>
          <w:lang w:val="en-US"/>
        </w:rPr>
        <w:t>không</w:t>
      </w:r>
      <w:proofErr w:type="spellEnd"/>
      <w:r w:rsidRPr="00D56210">
        <w:rPr>
          <w:rFonts w:ascii="Times New Roman" w:hAnsi="Times New Roman" w:cs="Times New Roman"/>
          <w:sz w:val="26"/>
          <w:szCs w:val="26"/>
          <w:lang w:val="en-US"/>
        </w:rPr>
        <w:t xml:space="preserve">. </w:t>
      </w:r>
      <w:r w:rsidRPr="00D56210">
        <w:rPr>
          <w:rFonts w:ascii="Times New Roman" w:eastAsia="Times New Roman" w:hAnsi="Times New Roman" w:cs="Times New Roman"/>
          <w:color w:val="22313F"/>
          <w:kern w:val="0"/>
          <w:sz w:val="26"/>
          <w:szCs w:val="26"/>
          <w14:ligatures w14:val="none"/>
        </w:rPr>
        <w:t xml:space="preserve">Bên cạnh đó </w:t>
      </w:r>
      <w:r w:rsidRPr="00D56210">
        <w:rPr>
          <w:rFonts w:ascii="Times New Roman" w:eastAsia="Times New Roman" w:hAnsi="Times New Roman" w:cs="Times New Roman"/>
          <w:color w:val="22313F"/>
          <w:kern w:val="0"/>
          <w:sz w:val="26"/>
          <w:szCs w:val="26"/>
          <w14:ligatures w14:val="none"/>
        </w:rPr>
        <w:t>có thể sử dụng biên lợi nhuận gộp để so sánh hiệu quả sản xuất kinh doanh giữa các doanh nghiệp khác cùng ngành với nhau.</w:t>
      </w:r>
      <w:r w:rsidRPr="00D56210">
        <w:rPr>
          <w:rFonts w:ascii="Times New Roman" w:eastAsia="Times New Roman" w:hAnsi="Times New Roman" w:cs="Times New Roman"/>
          <w:color w:val="22313F"/>
          <w:kern w:val="0"/>
          <w:sz w:val="26"/>
          <w:szCs w:val="26"/>
          <w14:ligatures w14:val="none"/>
        </w:rPr>
        <w:t xml:space="preserve"> </w:t>
      </w:r>
      <w:r w:rsidRPr="002A39D5">
        <w:rPr>
          <w:rFonts w:ascii="Times New Roman" w:eastAsia="Times New Roman" w:hAnsi="Times New Roman" w:cs="Times New Roman"/>
          <w:color w:val="22313F"/>
          <w:kern w:val="0"/>
          <w:sz w:val="26"/>
          <w:szCs w:val="26"/>
          <w14:ligatures w14:val="none"/>
        </w:rPr>
        <w:t>Một doanh nghiệp có biên lợi nhuận cao hơn mức trung bình ngành chỉ ra rằng doanh nghiệp đó đang có lợi thế cạnh tranh lớn.</w:t>
      </w:r>
      <w:r w:rsidRPr="00D56210">
        <w:rPr>
          <w:rFonts w:ascii="Times New Roman" w:eastAsia="Times New Roman" w:hAnsi="Times New Roman" w:cs="Times New Roman"/>
          <w:color w:val="22313F"/>
          <w:kern w:val="0"/>
          <w:sz w:val="26"/>
          <w:szCs w:val="26"/>
          <w14:ligatures w14:val="none"/>
        </w:rPr>
        <w:t xml:space="preserve"> </w:t>
      </w:r>
      <w:r w:rsidRPr="002A39D5">
        <w:rPr>
          <w:rFonts w:ascii="Times New Roman" w:eastAsia="Times New Roman" w:hAnsi="Times New Roman" w:cs="Times New Roman"/>
          <w:color w:val="22313F"/>
          <w:kern w:val="0"/>
          <w:sz w:val="26"/>
          <w:szCs w:val="26"/>
          <w14:ligatures w14:val="none"/>
        </w:rPr>
        <w:t>Vì lợi thế cạnh tranh sẽ giúp doanh nghiệp có thể duy trì mức giá cao hơn so với giá vốn.</w:t>
      </w:r>
      <w:r w:rsidRPr="00D56210">
        <w:rPr>
          <w:rFonts w:ascii="Times New Roman" w:eastAsia="Times New Roman" w:hAnsi="Times New Roman" w:cs="Times New Roman"/>
          <w:color w:val="22313F"/>
          <w:kern w:val="0"/>
          <w:sz w:val="26"/>
          <w:szCs w:val="26"/>
          <w14:ligatures w14:val="none"/>
        </w:rPr>
        <w:t xml:space="preserve"> </w:t>
      </w:r>
      <w:r w:rsidRPr="002A39D5">
        <w:rPr>
          <w:rFonts w:ascii="Times New Roman" w:eastAsia="Times New Roman" w:hAnsi="Times New Roman" w:cs="Times New Roman"/>
          <w:color w:val="22313F"/>
          <w:kern w:val="0"/>
          <w:sz w:val="26"/>
          <w:szCs w:val="26"/>
          <w14:ligatures w14:val="none"/>
        </w:rPr>
        <w:t>Doanh nghiệp có thể tăng giá bán mà không sợ sẽ làm ảnh hưởng quá nhiều đến nhu cầu mua của khách hàng.</w:t>
      </w:r>
      <w:r w:rsidR="00F0405A" w:rsidRPr="00D56210">
        <w:rPr>
          <w:rFonts w:ascii="Times New Roman" w:eastAsia="Times New Roman" w:hAnsi="Times New Roman" w:cs="Times New Roman"/>
          <w:color w:val="22313F"/>
          <w:kern w:val="0"/>
          <w:sz w:val="26"/>
          <w:szCs w:val="26"/>
          <w14:ligatures w14:val="none"/>
        </w:rPr>
        <w:t xml:space="preserve"> Thông thường tỷ số này đạt giá trị trong khoảng 30% đến 40% có nghĩa nên đầu tư vào doanh nghiệp và nếu tỷ số &lt; 20% các nhà đầu tư nên có những phương án khác. </w:t>
      </w:r>
    </w:p>
    <w:p w:rsidR="00F0405A" w:rsidRPr="00F0405A" w:rsidRDefault="00F0405A" w:rsidP="00D56210">
      <w:pPr>
        <w:shd w:val="clear" w:color="auto" w:fill="FFFFFF"/>
        <w:spacing w:after="0" w:line="240" w:lineRule="auto"/>
        <w:jc w:val="both"/>
        <w:textAlignment w:val="baseline"/>
        <w:outlineLvl w:val="3"/>
        <w:rPr>
          <w:rFonts w:ascii="Times New Roman" w:eastAsia="Times New Roman" w:hAnsi="Times New Roman" w:cs="Times New Roman"/>
          <w:b/>
          <w:bCs/>
          <w:color w:val="22313F"/>
          <w:kern w:val="0"/>
          <w:sz w:val="26"/>
          <w:szCs w:val="26"/>
          <w14:ligatures w14:val="none"/>
        </w:rPr>
      </w:pPr>
      <w:r w:rsidRPr="00D56210">
        <w:rPr>
          <w:rFonts w:ascii="Times New Roman" w:eastAsia="Times New Roman" w:hAnsi="Times New Roman" w:cs="Times New Roman"/>
          <w:b/>
          <w:bCs/>
          <w:color w:val="22313F"/>
          <w:kern w:val="0"/>
          <w:sz w:val="26"/>
          <w:szCs w:val="26"/>
          <w14:ligatures w14:val="none"/>
        </w:rPr>
        <w:t xml:space="preserve">- </w:t>
      </w:r>
      <w:r w:rsidRPr="00F0405A">
        <w:rPr>
          <w:rFonts w:ascii="Times New Roman" w:eastAsia="Times New Roman" w:hAnsi="Times New Roman" w:cs="Times New Roman"/>
          <w:b/>
          <w:bCs/>
          <w:color w:val="22313F"/>
          <w:kern w:val="0"/>
          <w:sz w:val="26"/>
          <w:szCs w:val="26"/>
          <w14:ligatures w14:val="none"/>
        </w:rPr>
        <w:t>Tỷ suất lợi nhuận trên vốn chủ sở hữu (ROE)</w:t>
      </w:r>
    </w:p>
    <w:p w:rsidR="00F0405A" w:rsidRPr="00F0405A" w:rsidRDefault="00F0405A"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sidRPr="00F0405A">
        <w:rPr>
          <w:rFonts w:ascii="Times New Roman" w:eastAsia="Times New Roman" w:hAnsi="Times New Roman" w:cs="Times New Roman"/>
          <w:color w:val="22313F"/>
          <w:kern w:val="0"/>
          <w:sz w:val="26"/>
          <w:szCs w:val="26"/>
          <w14:ligatures w14:val="none"/>
        </w:rPr>
        <w:t>Chỉ số tài chính này được sử dụng để đánh giá hiệu quả sử dụng vốn của công ty và khả năng tạo lợi nhuận cho nhà đầu tư.</w:t>
      </w:r>
    </w:p>
    <w:p w:rsidR="00F0405A" w:rsidRPr="00D56210" w:rsidRDefault="00F0405A"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sidRPr="00D56210">
        <w:rPr>
          <w:rFonts w:ascii="Times New Roman" w:eastAsia="Times New Roman" w:hAnsi="Times New Roman" w:cs="Times New Roman"/>
          <w:color w:val="22313F"/>
          <w:kern w:val="0"/>
          <w:sz w:val="26"/>
          <w:szCs w:val="26"/>
          <w14:ligatures w14:val="none"/>
        </w:rPr>
        <w:t>Tỷ suất lợi nhuận trên vốn chủ sở hữu = lợi nhuận sau thuế/ vốn chủ sở hữu bình quân</w:t>
      </w:r>
    </w:p>
    <w:p w:rsidR="00F0405A" w:rsidRPr="00D56210" w:rsidRDefault="00F0405A"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sidRPr="00D56210">
        <w:rPr>
          <w:rFonts w:ascii="Times New Roman" w:eastAsia="Times New Roman" w:hAnsi="Times New Roman" w:cs="Times New Roman"/>
          <w:color w:val="22313F"/>
          <w:kern w:val="0"/>
          <w:sz w:val="26"/>
          <w:szCs w:val="26"/>
          <w14:ligatures w14:val="none"/>
        </w:rPr>
        <w:t xml:space="preserve">Chỉ tiêu này cho biết </w:t>
      </w:r>
      <w:r w:rsidR="004E45D1" w:rsidRPr="00D56210">
        <w:rPr>
          <w:rFonts w:ascii="Times New Roman" w:eastAsia="Times New Roman" w:hAnsi="Times New Roman" w:cs="Times New Roman"/>
          <w:color w:val="22313F"/>
          <w:kern w:val="0"/>
          <w:sz w:val="26"/>
          <w:szCs w:val="26"/>
          <w14:ligatures w14:val="none"/>
        </w:rPr>
        <w:t xml:space="preserve">1 đồng vốn chủ sở hữu bỏ ra thu về bao nhiêu đồng lợi nhuận sau thuế. Đây cũng chính là điều mà một nhà đầu tư quan tâm khi bỏ tiền đầu tư vào doanh nghiệp. Một doanh nghiệp có chỉ số ổn định ở mức cao, có thể là dấu hiệu tốt cho thấy vốn </w:t>
      </w:r>
      <w:r w:rsidR="004E45D1" w:rsidRPr="00D56210">
        <w:rPr>
          <w:rFonts w:ascii="Times New Roman" w:eastAsia="Times New Roman" w:hAnsi="Times New Roman" w:cs="Times New Roman"/>
          <w:color w:val="22313F"/>
          <w:kern w:val="0"/>
          <w:sz w:val="26"/>
          <w:szCs w:val="26"/>
          <w14:ligatures w14:val="none"/>
        </w:rPr>
        <w:lastRenderedPageBreak/>
        <w:t xml:space="preserve">được sử dụng hiệu quả. Tuy nhiên, tỷ số này ở mỗi ngành nghề khác nhau thì không giống nhau. </w:t>
      </w:r>
    </w:p>
    <w:p w:rsidR="004E45D1" w:rsidRPr="00D56210" w:rsidRDefault="004E45D1" w:rsidP="00D56210">
      <w:pPr>
        <w:shd w:val="clear" w:color="auto" w:fill="FFFFFF"/>
        <w:spacing w:after="0" w:line="240" w:lineRule="auto"/>
        <w:jc w:val="both"/>
        <w:textAlignment w:val="baseline"/>
        <w:rPr>
          <w:rFonts w:ascii="Times New Roman" w:eastAsia="Times New Roman" w:hAnsi="Times New Roman" w:cs="Times New Roman"/>
          <w:b/>
          <w:bCs/>
          <w:color w:val="22313F"/>
          <w:kern w:val="0"/>
          <w:sz w:val="26"/>
          <w:szCs w:val="26"/>
          <w14:ligatures w14:val="none"/>
        </w:rPr>
      </w:pPr>
      <w:r w:rsidRPr="00D56210">
        <w:rPr>
          <w:rFonts w:ascii="Times New Roman" w:eastAsia="Times New Roman" w:hAnsi="Times New Roman" w:cs="Times New Roman"/>
          <w:b/>
          <w:bCs/>
          <w:color w:val="22313F"/>
          <w:kern w:val="0"/>
          <w:sz w:val="26"/>
          <w:szCs w:val="26"/>
          <w14:ligatures w14:val="none"/>
        </w:rPr>
        <w:t xml:space="preserve">- </w:t>
      </w:r>
      <w:r w:rsidR="00D56210">
        <w:rPr>
          <w:rFonts w:ascii="Times New Roman" w:eastAsia="Times New Roman" w:hAnsi="Times New Roman" w:cs="Times New Roman"/>
          <w:b/>
          <w:bCs/>
          <w:color w:val="22313F"/>
          <w:kern w:val="0"/>
          <w:sz w:val="26"/>
          <w:szCs w:val="26"/>
          <w14:ligatures w14:val="none"/>
        </w:rPr>
        <w:t>T</w:t>
      </w:r>
      <w:r w:rsidRPr="00D56210">
        <w:rPr>
          <w:rFonts w:ascii="Times New Roman" w:eastAsia="Times New Roman" w:hAnsi="Times New Roman" w:cs="Times New Roman"/>
          <w:b/>
          <w:bCs/>
          <w:color w:val="22313F"/>
          <w:kern w:val="0"/>
          <w:sz w:val="26"/>
          <w:szCs w:val="26"/>
          <w14:ligatures w14:val="none"/>
        </w:rPr>
        <w:t>ỷ suất lợi nhuận trên tài sản</w:t>
      </w:r>
    </w:p>
    <w:p w:rsidR="004E45D1" w:rsidRPr="00D56210" w:rsidRDefault="004E45D1"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sidRPr="00D56210">
        <w:rPr>
          <w:rFonts w:ascii="Times New Roman" w:eastAsia="Times New Roman" w:hAnsi="Times New Roman" w:cs="Times New Roman"/>
          <w:color w:val="22313F"/>
          <w:kern w:val="0"/>
          <w:sz w:val="26"/>
          <w:szCs w:val="26"/>
          <w14:ligatures w14:val="none"/>
        </w:rPr>
        <w:t>Khác với tỷ suất lợi nhuận trên vốn chủ sở hữu, tỷ suất này cho thấy quá trình sử dụng tài sản có hiệu quả hay không? Nếu 1 đồng tài sản khi tham gia vào kinh doanh tạo ra đồng lợi nhuận càng cao có nghĩa doanh nghiệp đang kinh doanh tốt và đồng thời quá trình sử dụng vốn khi đầu tư vào tài sản có hiệu quả. Các nhà đầu tư có thể đánh giá được khả năng tạo lãi qua tài sản và có quyết định cho việc đầu tư vào doanh nghiệp</w:t>
      </w:r>
    </w:p>
    <w:p w:rsidR="004E45D1" w:rsidRPr="00D56210" w:rsidRDefault="004E45D1"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sidRPr="00D56210">
        <w:rPr>
          <w:rFonts w:ascii="Times New Roman" w:eastAsia="Times New Roman" w:hAnsi="Times New Roman" w:cs="Times New Roman"/>
          <w:color w:val="22313F"/>
          <w:kern w:val="0"/>
          <w:sz w:val="26"/>
          <w:szCs w:val="26"/>
          <w14:ligatures w14:val="none"/>
        </w:rPr>
        <w:t>Công thức: tỷ suất lợi nhuận trên tài sản = lợi nhuận trước thuế/ tổng tài sản</w:t>
      </w:r>
    </w:p>
    <w:p w:rsidR="004E45D1" w:rsidRPr="00D56210" w:rsidRDefault="004E45D1"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sidRPr="00D56210">
        <w:rPr>
          <w:rFonts w:ascii="Times New Roman" w:eastAsia="Times New Roman" w:hAnsi="Times New Roman" w:cs="Times New Roman"/>
          <w:color w:val="22313F"/>
          <w:kern w:val="0"/>
          <w:sz w:val="26"/>
          <w:szCs w:val="26"/>
          <w14:ligatures w14:val="none"/>
        </w:rPr>
        <w:t xml:space="preserve">ở chỉ tiêu này có thể sử dụng lợi nhuận sau thuế tuy nhiên để có thể só sánh đánh giá tỷ suất các doanh nghiệp với nhau nên sử dụng lợi nhuận trước thuể để tránh sự khác nhau về mức thuế thu nhập doanh nghiệp. Lợi nhuận càng cao hiệu quả sinh lời càng lớn, nhà đầu tư càng gia tăng được khả năng tạo lãi từ đồng vốn đầu tư. </w:t>
      </w:r>
    </w:p>
    <w:p w:rsidR="00D373A8" w:rsidRPr="00D56210" w:rsidRDefault="00D373A8" w:rsidP="00D56210">
      <w:pPr>
        <w:shd w:val="clear" w:color="auto" w:fill="FFFFFF"/>
        <w:spacing w:after="0" w:line="240" w:lineRule="auto"/>
        <w:jc w:val="both"/>
        <w:textAlignment w:val="baseline"/>
        <w:rPr>
          <w:rFonts w:ascii="Times New Roman" w:eastAsia="Times New Roman" w:hAnsi="Times New Roman" w:cs="Times New Roman"/>
          <w:b/>
          <w:bCs/>
          <w:color w:val="22313F"/>
          <w:kern w:val="0"/>
          <w:sz w:val="26"/>
          <w:szCs w:val="26"/>
          <w14:ligatures w14:val="none"/>
        </w:rPr>
      </w:pPr>
      <w:r w:rsidRPr="00D56210">
        <w:rPr>
          <w:rFonts w:ascii="Times New Roman" w:eastAsia="Times New Roman" w:hAnsi="Times New Roman" w:cs="Times New Roman"/>
          <w:b/>
          <w:bCs/>
          <w:color w:val="22313F"/>
          <w:kern w:val="0"/>
          <w:sz w:val="26"/>
          <w:szCs w:val="26"/>
          <w14:ligatures w14:val="none"/>
        </w:rPr>
        <w:t>2. Nhóm chỉ số về khả năng thanh toán</w:t>
      </w:r>
    </w:p>
    <w:p w:rsidR="00D373A8" w:rsidRPr="00D56210" w:rsidRDefault="00D373A8" w:rsidP="00D56210">
      <w:pPr>
        <w:shd w:val="clear" w:color="auto" w:fill="FFFFFF"/>
        <w:spacing w:after="0" w:line="240" w:lineRule="auto"/>
        <w:jc w:val="both"/>
        <w:textAlignment w:val="baseline"/>
        <w:rPr>
          <w:rFonts w:ascii="Times New Roman" w:eastAsia="Times New Roman" w:hAnsi="Times New Roman" w:cs="Times New Roman"/>
          <w:b/>
          <w:bCs/>
          <w:color w:val="22313F"/>
          <w:kern w:val="0"/>
          <w:sz w:val="26"/>
          <w:szCs w:val="26"/>
          <w14:ligatures w14:val="none"/>
        </w:rPr>
      </w:pPr>
      <w:r w:rsidRPr="00D56210">
        <w:rPr>
          <w:rFonts w:ascii="Times New Roman" w:eastAsia="Times New Roman" w:hAnsi="Times New Roman" w:cs="Times New Roman"/>
          <w:b/>
          <w:bCs/>
          <w:color w:val="22313F"/>
          <w:kern w:val="0"/>
          <w:sz w:val="26"/>
          <w:szCs w:val="26"/>
          <w14:ligatures w14:val="none"/>
        </w:rPr>
        <w:t>- Khả năng thanh toán hiện hành</w:t>
      </w:r>
    </w:p>
    <w:p w:rsidR="00D373A8" w:rsidRPr="00D56210" w:rsidRDefault="00D373A8"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sidRPr="00D56210">
        <w:rPr>
          <w:rFonts w:ascii="Times New Roman" w:eastAsia="Times New Roman" w:hAnsi="Times New Roman" w:cs="Times New Roman"/>
          <w:color w:val="22313F"/>
          <w:kern w:val="0"/>
          <w:sz w:val="26"/>
          <w:szCs w:val="26"/>
          <w14:ligatures w14:val="none"/>
        </w:rPr>
        <w:t>Công thức: khả năng thanh toán hiện hành = Tài sản ngắn hạn/ nợ ngắn hạn</w:t>
      </w:r>
    </w:p>
    <w:p w:rsidR="00D373A8" w:rsidRPr="00D56210" w:rsidRDefault="00D373A8" w:rsidP="00D56210">
      <w:pPr>
        <w:pStyle w:val="NormalWeb"/>
        <w:shd w:val="clear" w:color="auto" w:fill="FFFFFF"/>
        <w:spacing w:before="0" w:beforeAutospacing="0" w:after="0" w:afterAutospacing="0"/>
        <w:jc w:val="both"/>
        <w:rPr>
          <w:color w:val="333333"/>
          <w:sz w:val="26"/>
          <w:szCs w:val="26"/>
        </w:rPr>
      </w:pPr>
      <w:r w:rsidRPr="00D56210">
        <w:rPr>
          <w:color w:val="000000"/>
          <w:sz w:val="26"/>
          <w:szCs w:val="26"/>
        </w:rPr>
        <w:t>Một trong các chỉ số tài chính doanh nghiệp quan trọng không thể bỏ qua đó là chỉ số thanh khoản (liquidity ratio). Đây là một chỉ số đo lường khả năng của một doanh nghiệp để thanh toán nợ và trả lãi cho các nhà đầu tư trong thời gian ngắn. Chỉ số này cho chúng ta biết xem doanh nghiệp có đủ tài sản để thanh toán các khoản nợ và các khoản phải trả trong thời gian ngắn hay không.</w:t>
      </w:r>
    </w:p>
    <w:p w:rsidR="00D373A8" w:rsidRPr="00D56210" w:rsidRDefault="00D373A8" w:rsidP="00D56210">
      <w:pPr>
        <w:pStyle w:val="NormalWeb"/>
        <w:shd w:val="clear" w:color="auto" w:fill="FFFFFF"/>
        <w:spacing w:before="0" w:beforeAutospacing="0" w:after="0" w:afterAutospacing="0"/>
        <w:jc w:val="both"/>
        <w:rPr>
          <w:color w:val="333333"/>
          <w:sz w:val="26"/>
          <w:szCs w:val="26"/>
        </w:rPr>
      </w:pPr>
      <w:r w:rsidRPr="00D56210">
        <w:rPr>
          <w:color w:val="000000"/>
          <w:sz w:val="26"/>
          <w:szCs w:val="26"/>
        </w:rPr>
        <w:t>Chỉ số thanh toán hiện hành trong doanh nghiệp là một chỉ số tài chính được sử dụng để đánh giá khả năng thanh toán hiện hành của một doanh nghiệp. Nó tính toán tỷ lệ quan hệ giữa tổng tiền phải trả trong một kỳ và tổng tiền nợ hiện tại của doanh nghiệp.</w:t>
      </w:r>
    </w:p>
    <w:p w:rsidR="00D373A8" w:rsidRPr="00D56210" w:rsidRDefault="00D373A8" w:rsidP="00D56210">
      <w:pPr>
        <w:pStyle w:val="NormalWeb"/>
        <w:shd w:val="clear" w:color="auto" w:fill="FFFFFF"/>
        <w:spacing w:before="0" w:beforeAutospacing="0" w:after="0" w:afterAutospacing="0"/>
        <w:jc w:val="both"/>
        <w:rPr>
          <w:color w:val="333333"/>
          <w:sz w:val="26"/>
          <w:szCs w:val="26"/>
        </w:rPr>
      </w:pPr>
      <w:r w:rsidRPr="00D56210">
        <w:rPr>
          <w:color w:val="000000"/>
          <w:sz w:val="26"/>
          <w:szCs w:val="26"/>
        </w:rPr>
        <w:t>Chỉ số tài chính doanh nghiệp này cho thấy khả năng của một doanh nghiệp để trả nợ trong thời gian quy định. Bên cạnh đó chúng còn có thể được sử dụng để đánh giá tính tin cậy của một doanh nghiệp.</w:t>
      </w:r>
    </w:p>
    <w:p w:rsidR="00D373A8" w:rsidRPr="00D56210" w:rsidRDefault="00D373A8" w:rsidP="00D56210">
      <w:pPr>
        <w:pStyle w:val="NormalWeb"/>
        <w:shd w:val="clear" w:color="auto" w:fill="FFFFFF"/>
        <w:spacing w:before="0" w:beforeAutospacing="0" w:after="0" w:afterAutospacing="0"/>
        <w:jc w:val="both"/>
        <w:rPr>
          <w:color w:val="333333"/>
          <w:sz w:val="26"/>
          <w:szCs w:val="26"/>
        </w:rPr>
      </w:pPr>
      <w:r w:rsidRPr="00D56210">
        <w:rPr>
          <w:color w:val="000000"/>
          <w:sz w:val="26"/>
          <w:szCs w:val="26"/>
        </w:rPr>
        <w:t>Khi chỉ số tài chính hiện hành cao, điều đó có nghĩa là có tài chính mạnh và khả năng trả nợ tốt. Một chỉ số tài chính hiện hành cao có thể cho thấy rằng mức thu nhập cao và có khả năng đầu tư vào các hoạt động kinh doanh mới</w:t>
      </w:r>
    </w:p>
    <w:p w:rsidR="00D373A8" w:rsidRPr="00D56210" w:rsidRDefault="00D373A8" w:rsidP="00D56210">
      <w:pPr>
        <w:shd w:val="clear" w:color="auto" w:fill="FFFFFF"/>
        <w:spacing w:after="0" w:line="240" w:lineRule="auto"/>
        <w:jc w:val="both"/>
        <w:textAlignment w:val="baseline"/>
        <w:rPr>
          <w:rFonts w:ascii="Times New Roman" w:eastAsia="Times New Roman" w:hAnsi="Times New Roman" w:cs="Times New Roman"/>
          <w:b/>
          <w:bCs/>
          <w:color w:val="22313F"/>
          <w:kern w:val="0"/>
          <w:sz w:val="26"/>
          <w:szCs w:val="26"/>
          <w14:ligatures w14:val="none"/>
        </w:rPr>
      </w:pPr>
      <w:r w:rsidRPr="00D56210">
        <w:rPr>
          <w:rFonts w:ascii="Times New Roman" w:eastAsia="Times New Roman" w:hAnsi="Times New Roman" w:cs="Times New Roman"/>
          <w:b/>
          <w:bCs/>
          <w:color w:val="22313F"/>
          <w:kern w:val="0"/>
          <w:sz w:val="26"/>
          <w:szCs w:val="26"/>
          <w14:ligatures w14:val="none"/>
        </w:rPr>
        <w:t>- Khả năng thanh toán tức thời</w:t>
      </w:r>
    </w:p>
    <w:p w:rsidR="00D56210" w:rsidRPr="00D56210" w:rsidRDefault="00D56210"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Pr>
          <w:rFonts w:ascii="Times New Roman" w:eastAsia="Times New Roman" w:hAnsi="Times New Roman" w:cs="Times New Roman"/>
          <w:color w:val="22313F"/>
          <w:kern w:val="0"/>
          <w:sz w:val="26"/>
          <w:szCs w:val="26"/>
          <w14:ligatures w14:val="none"/>
        </w:rPr>
        <w:t>K</w:t>
      </w:r>
      <w:r w:rsidRPr="00D56210">
        <w:rPr>
          <w:rFonts w:ascii="Times New Roman" w:eastAsia="Times New Roman" w:hAnsi="Times New Roman" w:cs="Times New Roman"/>
          <w:color w:val="22313F"/>
          <w:kern w:val="0"/>
          <w:sz w:val="26"/>
          <w:szCs w:val="26"/>
          <w14:ligatures w14:val="none"/>
        </w:rPr>
        <w:t>hả năng thanh toán tức thời = (tài sản ngắn hạn – hàng tồn kho)/ nợ ngắn hạn</w:t>
      </w:r>
    </w:p>
    <w:p w:rsidR="00D56210" w:rsidRPr="00D56210" w:rsidRDefault="00D56210" w:rsidP="00D56210">
      <w:pPr>
        <w:pStyle w:val="NormalWeb"/>
        <w:shd w:val="clear" w:color="auto" w:fill="FFFFFF"/>
        <w:spacing w:before="0" w:beforeAutospacing="0" w:after="0" w:afterAutospacing="0"/>
        <w:jc w:val="both"/>
        <w:rPr>
          <w:color w:val="333333"/>
          <w:sz w:val="26"/>
          <w:szCs w:val="26"/>
        </w:rPr>
      </w:pPr>
      <w:r w:rsidRPr="00D56210">
        <w:rPr>
          <w:color w:val="000000"/>
          <w:sz w:val="26"/>
          <w:szCs w:val="26"/>
        </w:rPr>
        <w:t>Chỉ số thanh toán tức thời trong doanh nghiệp là một chỉ số tài chính doanh nghiệp rất quan trọng. Chúng đánh giá sức mạnh tài chính và khả năng trả nợ của một doanh nghiệp. Chỉ số này tính toán tỷ lệ quan hệ giữa tổng tiền phải trả trong một kỳ và tổng tiền nợ hiện tại của doanh nghiệp. Khi chỉ số này cao, điều đó có nghĩa là doanh nghiệp có khả năng trả nợ mạnh hơn và có tính tin cậy cao hơn.</w:t>
      </w:r>
    </w:p>
    <w:p w:rsidR="00D56210" w:rsidRDefault="00D56210" w:rsidP="00D56210">
      <w:pPr>
        <w:pStyle w:val="NormalWeb"/>
        <w:shd w:val="clear" w:color="auto" w:fill="FFFFFF"/>
        <w:spacing w:before="0" w:beforeAutospacing="0" w:after="0" w:afterAutospacing="0"/>
        <w:jc w:val="both"/>
        <w:rPr>
          <w:color w:val="000000"/>
          <w:sz w:val="26"/>
          <w:szCs w:val="26"/>
        </w:rPr>
      </w:pPr>
      <w:r w:rsidRPr="00D56210">
        <w:rPr>
          <w:color w:val="000000"/>
          <w:sz w:val="26"/>
          <w:szCs w:val="26"/>
        </w:rPr>
        <w:t>Tuy nhiên, khi chỉ số này quá thấp, điều đó có thể là một dấu hiệu cho thấy có vấn đề về tài chính và có thể gặp khó khăn trong việc trả nợ. Do đó, chỉ số thanh toán tức thời là một chỉ số rất quan trọng để đánh giá sức mạnh tài chính và khả năng trả nợ. Do đó, nếu như bạn là một nhà đầu tư hoặc nhà quản lý tài chính, việc theo dõi và đánh giá chỉ số thanh toán tức thời trong doanh nghiệp là một phần rất quan trọng của việc quản lý tài chính và đầu tư.</w:t>
      </w:r>
    </w:p>
    <w:p w:rsidR="00D56210" w:rsidRPr="00D56210" w:rsidRDefault="00D56210" w:rsidP="00D56210">
      <w:pPr>
        <w:pStyle w:val="NormalWeb"/>
        <w:shd w:val="clear" w:color="auto" w:fill="FFFFFF"/>
        <w:spacing w:before="0" w:beforeAutospacing="0" w:after="0" w:afterAutospacing="0"/>
        <w:jc w:val="both"/>
        <w:rPr>
          <w:b/>
          <w:bCs/>
          <w:color w:val="000000"/>
          <w:sz w:val="26"/>
          <w:szCs w:val="26"/>
        </w:rPr>
      </w:pPr>
      <w:r w:rsidRPr="00D56210">
        <w:rPr>
          <w:b/>
          <w:bCs/>
          <w:color w:val="000000"/>
          <w:sz w:val="26"/>
          <w:szCs w:val="26"/>
        </w:rPr>
        <w:lastRenderedPageBreak/>
        <w:t>- Khả năng thanh toán lãi vay</w:t>
      </w:r>
    </w:p>
    <w:p w:rsidR="00D56210" w:rsidRDefault="00D56210" w:rsidP="00D56210">
      <w:pPr>
        <w:pStyle w:val="NormalWeb"/>
        <w:shd w:val="clear" w:color="auto" w:fill="FFFFFF"/>
        <w:spacing w:before="0" w:beforeAutospacing="0" w:after="0" w:afterAutospacing="0"/>
        <w:jc w:val="both"/>
        <w:rPr>
          <w:color w:val="000000"/>
          <w:sz w:val="26"/>
          <w:szCs w:val="26"/>
        </w:rPr>
      </w:pPr>
      <w:r>
        <w:rPr>
          <w:color w:val="000000"/>
          <w:sz w:val="26"/>
          <w:szCs w:val="26"/>
        </w:rPr>
        <w:t>Công thức: khả năng thanh toán lãi vay = lợi nhuận trước thuế và lãi vay/chi phí lãi vay</w:t>
      </w:r>
    </w:p>
    <w:p w:rsidR="00D56210" w:rsidRPr="00D56210" w:rsidRDefault="00D56210" w:rsidP="00D56210">
      <w:pPr>
        <w:pStyle w:val="NormalWeb"/>
        <w:shd w:val="clear" w:color="auto" w:fill="FFFFFF"/>
        <w:spacing w:before="0" w:beforeAutospacing="0" w:after="0" w:afterAutospacing="0"/>
        <w:jc w:val="both"/>
        <w:rPr>
          <w:color w:val="333333"/>
          <w:sz w:val="26"/>
          <w:szCs w:val="26"/>
        </w:rPr>
      </w:pPr>
      <w:r>
        <w:rPr>
          <w:color w:val="000000"/>
          <w:sz w:val="26"/>
          <w:szCs w:val="26"/>
        </w:rPr>
        <w:t>Khả năng thanh toán lãi vay này cho biết doanh nghiệp có khả năng thanh toán những khoản lãi từ vay nợ hay không, có gặp áp lực trong thanh toán lãi vạy đặc biệt là những khoản vay đến hạn. nếu khả năng này càng nhỏ (&lt;1) có nghĩa là doanh nghiệp đang gặp nhiều khó khăn đến từ khoản vay và chưa có khả năng chi trả lãi vay. Nhưng nếu khả năng thanh toán này lớn tức là doanh nghiệp đang có thể thanh toán lãi vay một cách đảm bảo an toàn. Tuy nhiên nếu quá lớn cũng không tốt bởi số vốn đầu tư vào việc thanh toán lãi vay có thể nhiều. từ đó việc sử dụng vốn đánh giá chưa được hiệu quả.</w:t>
      </w:r>
    </w:p>
    <w:p w:rsidR="00D373A8" w:rsidRDefault="00D56210"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Pr>
          <w:rFonts w:ascii="Times New Roman" w:eastAsia="Times New Roman" w:hAnsi="Times New Roman" w:cs="Times New Roman"/>
          <w:color w:val="22313F"/>
          <w:kern w:val="0"/>
          <w:sz w:val="26"/>
          <w:szCs w:val="26"/>
          <w14:ligatures w14:val="none"/>
        </w:rPr>
        <w:t xml:space="preserve"> </w:t>
      </w:r>
    </w:p>
    <w:p w:rsidR="00D56210" w:rsidRDefault="00D56210"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Pr>
          <w:rFonts w:ascii="Times New Roman" w:eastAsia="Times New Roman" w:hAnsi="Times New Roman" w:cs="Times New Roman"/>
          <w:color w:val="22313F"/>
          <w:kern w:val="0"/>
          <w:sz w:val="26"/>
          <w:szCs w:val="26"/>
          <w14:ligatures w14:val="none"/>
        </w:rPr>
        <w:t>Tài liệu tham khảo</w:t>
      </w:r>
    </w:p>
    <w:p w:rsidR="00D56210" w:rsidRDefault="00BF0115"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Pr>
          <w:rFonts w:ascii="Times New Roman" w:eastAsia="Times New Roman" w:hAnsi="Times New Roman" w:cs="Times New Roman"/>
          <w:color w:val="22313F"/>
          <w:kern w:val="0"/>
          <w:sz w:val="26"/>
          <w:szCs w:val="26"/>
          <w14:ligatures w14:val="none"/>
        </w:rPr>
        <w:t xml:space="preserve">1. </w:t>
      </w:r>
      <w:hyperlink r:id="rId5" w:history="1">
        <w:r w:rsidRPr="00223833">
          <w:rPr>
            <w:rStyle w:val="Hyperlink"/>
            <w:rFonts w:ascii="Times New Roman" w:eastAsia="Times New Roman" w:hAnsi="Times New Roman" w:cs="Times New Roman"/>
            <w:kern w:val="0"/>
            <w:sz w:val="26"/>
            <w:szCs w:val="26"/>
            <w14:ligatures w14:val="none"/>
          </w:rPr>
          <w:t>https://master.masvn.com/kien-thuc-dau-tu-chung-khoan/nhom-chi-so-ve-kha-nang-hoat-dong-cua-doanh-nghiep-214</w:t>
        </w:r>
      </w:hyperlink>
    </w:p>
    <w:p w:rsidR="00BF0115" w:rsidRDefault="00BF0115"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r>
        <w:rPr>
          <w:rFonts w:ascii="Times New Roman" w:eastAsia="Times New Roman" w:hAnsi="Times New Roman" w:cs="Times New Roman"/>
          <w:color w:val="22313F"/>
          <w:kern w:val="0"/>
          <w:sz w:val="26"/>
          <w:szCs w:val="26"/>
          <w14:ligatures w14:val="none"/>
        </w:rPr>
        <w:t xml:space="preserve">2. </w:t>
      </w:r>
      <w:hyperlink r:id="rId6" w:history="1">
        <w:r w:rsidRPr="00223833">
          <w:rPr>
            <w:rStyle w:val="Hyperlink"/>
            <w:rFonts w:ascii="Times New Roman" w:eastAsia="Times New Roman" w:hAnsi="Times New Roman" w:cs="Times New Roman"/>
            <w:kern w:val="0"/>
            <w:sz w:val="26"/>
            <w:szCs w:val="26"/>
            <w14:ligatures w14:val="none"/>
          </w:rPr>
          <w:t>https://wichart.vn/blogs/cac-chi-so-tai-chinh-danh-gia-hieu-qua-kinh-doanh-cua-doanh-nghiep-297</w:t>
        </w:r>
      </w:hyperlink>
    </w:p>
    <w:p w:rsidR="00BF0115" w:rsidRPr="00D56210" w:rsidRDefault="00BF0115"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p>
    <w:p w:rsidR="004E45D1" w:rsidRPr="00F0405A" w:rsidRDefault="004E45D1"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p>
    <w:p w:rsidR="00F0405A" w:rsidRPr="002A39D5" w:rsidRDefault="00F0405A" w:rsidP="00D56210">
      <w:pPr>
        <w:shd w:val="clear" w:color="auto" w:fill="FFFFFF"/>
        <w:spacing w:after="0" w:line="240" w:lineRule="auto"/>
        <w:jc w:val="both"/>
        <w:textAlignment w:val="baseline"/>
        <w:rPr>
          <w:rFonts w:ascii="Times New Roman" w:eastAsia="Times New Roman" w:hAnsi="Times New Roman" w:cs="Times New Roman"/>
          <w:color w:val="22313F"/>
          <w:kern w:val="0"/>
          <w:sz w:val="26"/>
          <w:szCs w:val="26"/>
          <w14:ligatures w14:val="none"/>
        </w:rPr>
      </w:pPr>
    </w:p>
    <w:p w:rsidR="002A39D5" w:rsidRPr="00D56210" w:rsidRDefault="002A39D5" w:rsidP="00D56210">
      <w:pPr>
        <w:spacing w:after="0" w:line="240" w:lineRule="auto"/>
        <w:jc w:val="both"/>
        <w:rPr>
          <w:rFonts w:ascii="Times New Roman" w:hAnsi="Times New Roman" w:cs="Times New Roman"/>
          <w:sz w:val="26"/>
          <w:szCs w:val="26"/>
          <w:lang w:val="en-US"/>
        </w:rPr>
      </w:pPr>
    </w:p>
    <w:sectPr w:rsidR="002A39D5" w:rsidRPr="00D5621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D4A"/>
    <w:multiLevelType w:val="multilevel"/>
    <w:tmpl w:val="2A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34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41"/>
    <w:rsid w:val="002A39D5"/>
    <w:rsid w:val="003B7CA1"/>
    <w:rsid w:val="00487EDF"/>
    <w:rsid w:val="004E45D1"/>
    <w:rsid w:val="0060472F"/>
    <w:rsid w:val="00635441"/>
    <w:rsid w:val="00822F4D"/>
    <w:rsid w:val="009771C7"/>
    <w:rsid w:val="00A1260D"/>
    <w:rsid w:val="00A65A1B"/>
    <w:rsid w:val="00BF0115"/>
    <w:rsid w:val="00D373A8"/>
    <w:rsid w:val="00D56210"/>
    <w:rsid w:val="00F0405A"/>
    <w:rsid w:val="00FF07CD"/>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02F98FD"/>
  <w15:chartTrackingRefBased/>
  <w15:docId w15:val="{31DE5F26-E1DB-D040-811C-10B1C15E8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V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54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54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54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6354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54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54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54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54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54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4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54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54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6354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54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54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54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54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5441"/>
    <w:rPr>
      <w:rFonts w:eastAsiaTheme="majorEastAsia" w:cstheme="majorBidi"/>
      <w:color w:val="272727" w:themeColor="text1" w:themeTint="D8"/>
    </w:rPr>
  </w:style>
  <w:style w:type="paragraph" w:styleId="Title">
    <w:name w:val="Title"/>
    <w:basedOn w:val="Normal"/>
    <w:next w:val="Normal"/>
    <w:link w:val="TitleChar"/>
    <w:uiPriority w:val="10"/>
    <w:qFormat/>
    <w:rsid w:val="006354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54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54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54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5441"/>
    <w:pPr>
      <w:spacing w:before="160"/>
      <w:jc w:val="center"/>
    </w:pPr>
    <w:rPr>
      <w:i/>
      <w:iCs/>
      <w:color w:val="404040" w:themeColor="text1" w:themeTint="BF"/>
    </w:rPr>
  </w:style>
  <w:style w:type="character" w:customStyle="1" w:styleId="QuoteChar">
    <w:name w:val="Quote Char"/>
    <w:basedOn w:val="DefaultParagraphFont"/>
    <w:link w:val="Quote"/>
    <w:uiPriority w:val="29"/>
    <w:rsid w:val="00635441"/>
    <w:rPr>
      <w:i/>
      <w:iCs/>
      <w:color w:val="404040" w:themeColor="text1" w:themeTint="BF"/>
    </w:rPr>
  </w:style>
  <w:style w:type="paragraph" w:styleId="ListParagraph">
    <w:name w:val="List Paragraph"/>
    <w:basedOn w:val="Normal"/>
    <w:uiPriority w:val="34"/>
    <w:qFormat/>
    <w:rsid w:val="00635441"/>
    <w:pPr>
      <w:ind w:left="720"/>
      <w:contextualSpacing/>
    </w:pPr>
  </w:style>
  <w:style w:type="character" w:styleId="IntenseEmphasis">
    <w:name w:val="Intense Emphasis"/>
    <w:basedOn w:val="DefaultParagraphFont"/>
    <w:uiPriority w:val="21"/>
    <w:qFormat/>
    <w:rsid w:val="00635441"/>
    <w:rPr>
      <w:i/>
      <w:iCs/>
      <w:color w:val="2F5496" w:themeColor="accent1" w:themeShade="BF"/>
    </w:rPr>
  </w:style>
  <w:style w:type="paragraph" w:styleId="IntenseQuote">
    <w:name w:val="Intense Quote"/>
    <w:basedOn w:val="Normal"/>
    <w:next w:val="Normal"/>
    <w:link w:val="IntenseQuoteChar"/>
    <w:uiPriority w:val="30"/>
    <w:qFormat/>
    <w:rsid w:val="006354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5441"/>
    <w:rPr>
      <w:i/>
      <w:iCs/>
      <w:color w:val="2F5496" w:themeColor="accent1" w:themeShade="BF"/>
    </w:rPr>
  </w:style>
  <w:style w:type="character" w:styleId="IntenseReference">
    <w:name w:val="Intense Reference"/>
    <w:basedOn w:val="DefaultParagraphFont"/>
    <w:uiPriority w:val="32"/>
    <w:qFormat/>
    <w:rsid w:val="00635441"/>
    <w:rPr>
      <w:b/>
      <w:bCs/>
      <w:smallCaps/>
      <w:color w:val="2F5496" w:themeColor="accent1" w:themeShade="BF"/>
      <w:spacing w:val="5"/>
    </w:rPr>
  </w:style>
  <w:style w:type="paragraph" w:styleId="NormalWeb">
    <w:name w:val="Normal (Web)"/>
    <w:basedOn w:val="Normal"/>
    <w:uiPriority w:val="99"/>
    <w:semiHidden/>
    <w:unhideWhenUsed/>
    <w:rsid w:val="002A39D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BF0115"/>
    <w:rPr>
      <w:color w:val="0563C1" w:themeColor="hyperlink"/>
      <w:u w:val="single"/>
    </w:rPr>
  </w:style>
  <w:style w:type="character" w:styleId="UnresolvedMention">
    <w:name w:val="Unresolved Mention"/>
    <w:basedOn w:val="DefaultParagraphFont"/>
    <w:uiPriority w:val="99"/>
    <w:semiHidden/>
    <w:unhideWhenUsed/>
    <w:rsid w:val="00BF0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chart.vn/blogs/cac-chi-so-tai-chinh-danh-gia-hieu-qua-kinh-doanh-cua-doanh-nghiep-297" TargetMode="External"/><Relationship Id="rId5" Type="http://schemas.openxmlformats.org/officeDocument/2006/relationships/hyperlink" Target="https://master.masvn.com/kien-thuc-dau-tu-chung-khoan/nhom-chi-so-ve-kha-nang-hoat-dong-cua-doanh-nghiep-21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1119</Words>
  <Characters>6383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2</cp:revision>
  <dcterms:created xsi:type="dcterms:W3CDTF">2025-10-14T04:02:00Z</dcterms:created>
  <dcterms:modified xsi:type="dcterms:W3CDTF">2025-10-14T07:35:00Z</dcterms:modified>
</cp:coreProperties>
</file>