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98F6" w14:textId="1F70776D" w:rsidR="00A065A0" w:rsidRPr="00A065A0" w:rsidRDefault="00A065A0" w:rsidP="00A065A0">
      <w:pPr>
        <w:jc w:val="center"/>
        <w:rPr>
          <w:rFonts w:ascii="Times New Roman" w:hAnsi="Times New Roman" w:cs="Times New Roman"/>
          <w:b/>
          <w:bCs/>
        </w:rPr>
      </w:pPr>
      <w:r w:rsidRPr="00A065A0">
        <w:rPr>
          <w:rFonts w:ascii="Times New Roman" w:hAnsi="Times New Roman" w:cs="Times New Roman"/>
          <w:b/>
          <w:bCs/>
        </w:rPr>
        <w:t>CÁC TRƯỜNG HỢP TÍNH THUẾ TNDN THEO TỶ LỆ % TRÊN DOANH THU TỪ 01/10/2025</w:t>
      </w:r>
    </w:p>
    <w:p w14:paraId="621D3FDD" w14:textId="46CC3F89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</w:rPr>
        <w:t>D</w:t>
      </w:r>
      <w:r w:rsidRPr="00A065A0">
        <w:rPr>
          <w:rFonts w:ascii="Times New Roman" w:hAnsi="Times New Roman" w:cs="Times New Roman"/>
        </w:rPr>
        <w:t>ựa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Điều</w:t>
      </w:r>
      <w:proofErr w:type="spellEnd"/>
      <w:r w:rsidRPr="00A065A0">
        <w:rPr>
          <w:rFonts w:ascii="Times New Roman" w:hAnsi="Times New Roman" w:cs="Times New Roman"/>
        </w:rPr>
        <w:t xml:space="preserve"> 11</w:t>
      </w:r>
      <w:hyperlink r:id="rId4" w:tgtFrame="_blank" w:history="1">
        <w:r w:rsidRPr="00A065A0">
          <w:rPr>
            <w:rStyle w:val="Hyperlink"/>
            <w:rFonts w:ascii="Times New Roman" w:hAnsi="Times New Roman" w:cs="Times New Roman"/>
            <w:color w:val="auto"/>
          </w:rPr>
          <w:t> 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Luật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Thuế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nhập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doanh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nghiệp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2025</w:t>
        </w:r>
      </w:hyperlink>
      <w:r w:rsidRPr="00A065A0">
        <w:rPr>
          <w:rFonts w:ascii="Times New Roman" w:hAnsi="Times New Roman" w:cs="Times New Roman"/>
        </w:rPr>
        <w:t> (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hiệu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lực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từ</w:t>
      </w:r>
      <w:proofErr w:type="spellEnd"/>
      <w:r w:rsidRPr="00A065A0">
        <w:rPr>
          <w:rFonts w:ascii="Times New Roman" w:hAnsi="Times New Roman" w:cs="Times New Roman"/>
        </w:rPr>
        <w:t xml:space="preserve"> 01/10/2025)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sau</w:t>
      </w:r>
      <w:proofErr w:type="spellEnd"/>
      <w:r w:rsidRPr="00A065A0">
        <w:rPr>
          <w:rFonts w:ascii="Times New Roman" w:hAnsi="Times New Roman" w:cs="Times New Roman"/>
        </w:rPr>
        <w:t>:</w:t>
      </w:r>
    </w:p>
    <w:p w14:paraId="1727E192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b/>
          <w:bCs/>
          <w:i/>
          <w:iCs/>
        </w:rPr>
        <w:t xml:space="preserve">Phương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pháp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thuế</w:t>
      </w:r>
      <w:proofErr w:type="spellEnd"/>
    </w:p>
    <w:p w14:paraId="7005612C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1. </w:t>
      </w:r>
      <w:proofErr w:type="spellStart"/>
      <w:r w:rsidRPr="00A065A0">
        <w:rPr>
          <w:rFonts w:ascii="Times New Roman" w:hAnsi="Times New Roman" w:cs="Times New Roman"/>
          <w:i/>
          <w:iCs/>
        </w:rPr>
        <w:t>Số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phải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nộp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trong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bằng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nhân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với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trường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hợp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A065A0">
        <w:rPr>
          <w:rFonts w:ascii="Times New Roman" w:hAnsi="Times New Roman" w:cs="Times New Roman"/>
          <w:i/>
          <w:iCs/>
        </w:rPr>
        <w:t>Điều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>.</w:t>
      </w:r>
    </w:p>
    <w:p w14:paraId="196DCB99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2. </w:t>
      </w:r>
      <w:proofErr w:type="spellStart"/>
      <w:r w:rsidRPr="00A065A0">
        <w:rPr>
          <w:rFonts w:ascii="Times New Roman" w:hAnsi="Times New Roman" w:cs="Times New Roman"/>
          <w:i/>
          <w:iCs/>
        </w:rPr>
        <w:t>Chính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phủ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số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phải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nộp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theo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tỷ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lệ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% </w:t>
      </w:r>
      <w:proofErr w:type="spellStart"/>
      <w:r w:rsidRPr="00A065A0">
        <w:rPr>
          <w:rFonts w:ascii="Times New Roman" w:hAnsi="Times New Roman" w:cs="Times New Roman"/>
          <w:i/>
          <w:iCs/>
        </w:rPr>
        <w:t>trên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đối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với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trường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hợp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sau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đây</w:t>
      </w:r>
      <w:proofErr w:type="spellEnd"/>
      <w:r w:rsidRPr="00A065A0">
        <w:rPr>
          <w:rFonts w:ascii="Times New Roman" w:hAnsi="Times New Roman" w:cs="Times New Roman"/>
          <w:i/>
          <w:iCs/>
        </w:rPr>
        <w:t>:</w:t>
      </w:r>
    </w:p>
    <w:p w14:paraId="242874BD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a) Doanh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điểm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c, </w:t>
      </w:r>
      <w:proofErr w:type="spellStart"/>
      <w:r w:rsidRPr="00A065A0">
        <w:rPr>
          <w:rFonts w:ascii="Times New Roman" w:hAnsi="Times New Roman" w:cs="Times New Roman"/>
          <w:i/>
          <w:iCs/>
        </w:rPr>
        <w:t>điểm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d </w:t>
      </w:r>
      <w:proofErr w:type="spellStart"/>
      <w:r w:rsidRPr="00A065A0">
        <w:rPr>
          <w:rFonts w:ascii="Times New Roman" w:hAnsi="Times New Roman" w:cs="Times New Roman"/>
          <w:i/>
          <w:iCs/>
        </w:rPr>
        <w:t>khoản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A065A0">
        <w:rPr>
          <w:rFonts w:ascii="Times New Roman" w:hAnsi="Times New Roman" w:cs="Times New Roman"/>
          <w:i/>
          <w:iCs/>
        </w:rPr>
        <w:t>Điều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Luật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065A0">
        <w:rPr>
          <w:rFonts w:ascii="Times New Roman" w:hAnsi="Times New Roman" w:cs="Times New Roman"/>
          <w:i/>
          <w:iCs/>
        </w:rPr>
        <w:t>đối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thực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hiện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nghĩa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vụ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kê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nộp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thời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điểm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và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cách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phát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Việt </w:t>
      </w:r>
      <w:proofErr w:type="gramStart"/>
      <w:r w:rsidRPr="00A065A0">
        <w:rPr>
          <w:rFonts w:ascii="Times New Roman" w:hAnsi="Times New Roman" w:cs="Times New Roman"/>
          <w:i/>
          <w:iCs/>
        </w:rPr>
        <w:t>Nam;</w:t>
      </w:r>
      <w:proofErr w:type="gramEnd"/>
    </w:p>
    <w:p w14:paraId="3F134D6D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b) Doanh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tổng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không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quá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03 </w:t>
      </w:r>
      <w:proofErr w:type="spellStart"/>
      <w:r w:rsidRPr="00A065A0">
        <w:rPr>
          <w:rFonts w:ascii="Times New Roman" w:hAnsi="Times New Roman" w:cs="Times New Roman"/>
          <w:i/>
          <w:iCs/>
        </w:rPr>
        <w:t>tỷ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đồng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A065A0">
        <w:rPr>
          <w:rFonts w:ascii="Times New Roman" w:hAnsi="Times New Roman" w:cs="Times New Roman"/>
          <w:i/>
          <w:iCs/>
        </w:rPr>
        <w:t>Điều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10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Luật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trong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trường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hợp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không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chi </w:t>
      </w:r>
      <w:proofErr w:type="spellStart"/>
      <w:r w:rsidRPr="00A065A0">
        <w:rPr>
          <w:rFonts w:ascii="Times New Roman" w:hAnsi="Times New Roman" w:cs="Times New Roman"/>
          <w:i/>
          <w:iCs/>
        </w:rPr>
        <w:t>phí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>;</w:t>
      </w:r>
      <w:proofErr w:type="gramEnd"/>
    </w:p>
    <w:p w14:paraId="628E3579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c) </w:t>
      </w:r>
      <w:proofErr w:type="spellStart"/>
      <w:r w:rsidRPr="00A065A0">
        <w:rPr>
          <w:rFonts w:ascii="Times New Roman" w:hAnsi="Times New Roman" w:cs="Times New Roman"/>
          <w:i/>
          <w:iCs/>
        </w:rPr>
        <w:t>Hợp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xã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liên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hợp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xã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đơn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vị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và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tổ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chức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điểm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c, d </w:t>
      </w:r>
      <w:proofErr w:type="spellStart"/>
      <w:r w:rsidRPr="00A065A0">
        <w:rPr>
          <w:rFonts w:ascii="Times New Roman" w:hAnsi="Times New Roman" w:cs="Times New Roman"/>
          <w:i/>
          <w:iCs/>
        </w:rPr>
        <w:t>và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đ </w:t>
      </w:r>
      <w:proofErr w:type="spellStart"/>
      <w:r w:rsidRPr="00A065A0">
        <w:rPr>
          <w:rFonts w:ascii="Times New Roman" w:hAnsi="Times New Roman" w:cs="Times New Roman"/>
          <w:i/>
          <w:iCs/>
        </w:rPr>
        <w:t>khoản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Pr="00A065A0">
        <w:rPr>
          <w:rFonts w:ascii="Times New Roman" w:hAnsi="Times New Roman" w:cs="Times New Roman"/>
          <w:i/>
          <w:iCs/>
        </w:rPr>
        <w:t>Điều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Luật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hàng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hoá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dịch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vụ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miễn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4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Luật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A065A0">
        <w:rPr>
          <w:rFonts w:ascii="Times New Roman" w:hAnsi="Times New Roman" w:cs="Times New Roman"/>
          <w:i/>
          <w:iCs/>
        </w:rPr>
        <w:t>mà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vị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hạch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toán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không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chi </w:t>
      </w:r>
      <w:proofErr w:type="spellStart"/>
      <w:r w:rsidRPr="00A065A0">
        <w:rPr>
          <w:rFonts w:ascii="Times New Roman" w:hAnsi="Times New Roman" w:cs="Times New Roman"/>
          <w:i/>
          <w:iCs/>
        </w:rPr>
        <w:t>phí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>.</w:t>
      </w:r>
    </w:p>
    <w:p w14:paraId="04A64BDC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  <w:b/>
          <w:bCs/>
        </w:rPr>
        <w:t>Vì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vậy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trên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các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trường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hợp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tính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TNDN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tỷ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lệ</w:t>
      </w:r>
      <w:proofErr w:type="spellEnd"/>
      <w:r w:rsidRPr="00A065A0">
        <w:rPr>
          <w:rFonts w:ascii="Times New Roman" w:hAnsi="Times New Roman" w:cs="Times New Roman"/>
        </w:rPr>
        <w:t xml:space="preserve"> % </w:t>
      </w:r>
      <w:proofErr w:type="spellStart"/>
      <w:r w:rsidRPr="00A065A0">
        <w:rPr>
          <w:rFonts w:ascii="Times New Roman" w:hAnsi="Times New Roman" w:cs="Times New Roman"/>
        </w:rPr>
        <w:t>trên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từ</w:t>
      </w:r>
      <w:proofErr w:type="spellEnd"/>
      <w:r w:rsidRPr="00A065A0">
        <w:rPr>
          <w:rFonts w:ascii="Times New Roman" w:hAnsi="Times New Roman" w:cs="Times New Roman"/>
        </w:rPr>
        <w:t xml:space="preserve"> 01/10/2025 bao </w:t>
      </w:r>
      <w:proofErr w:type="spellStart"/>
      <w:r w:rsidRPr="00A065A0">
        <w:rPr>
          <w:rFonts w:ascii="Times New Roman" w:hAnsi="Times New Roman" w:cs="Times New Roman"/>
        </w:rPr>
        <w:t>gồm</w:t>
      </w:r>
      <w:proofErr w:type="spellEnd"/>
      <w:r w:rsidRPr="00A065A0">
        <w:rPr>
          <w:rFonts w:ascii="Times New Roman" w:hAnsi="Times New Roman" w:cs="Times New Roman"/>
        </w:rPr>
        <w:t>:</w:t>
      </w:r>
    </w:p>
    <w:p w14:paraId="7AB8F5C9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b/>
          <w:bCs/>
        </w:rPr>
        <w:t>(1) </w:t>
      </w:r>
      <w:r w:rsidRPr="00A065A0">
        <w:rPr>
          <w:rFonts w:ascii="Times New Roman" w:hAnsi="Times New Roman" w:cs="Times New Roman"/>
        </w:rPr>
        <w:t xml:space="preserve">Doanh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nước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ngoài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cơ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sở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thường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trú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Việt Nam </w:t>
      </w:r>
      <w:proofErr w:type="spellStart"/>
      <w:r w:rsidRPr="00A065A0">
        <w:rPr>
          <w:rFonts w:ascii="Times New Roman" w:hAnsi="Times New Roman" w:cs="Times New Roman"/>
        </w:rPr>
        <w:t>nộp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TNDN </w:t>
      </w:r>
      <w:proofErr w:type="spellStart"/>
      <w:r w:rsidRPr="00A065A0">
        <w:rPr>
          <w:rFonts w:ascii="Times New Roman" w:hAnsi="Times New Roman" w:cs="Times New Roman"/>
        </w:rPr>
        <w:t>đối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với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phát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Việt Nam </w:t>
      </w:r>
      <w:proofErr w:type="spellStart"/>
      <w:r w:rsidRPr="00A065A0">
        <w:rPr>
          <w:rFonts w:ascii="Times New Roman" w:hAnsi="Times New Roman" w:cs="Times New Roman"/>
        </w:rPr>
        <w:t>mà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khoản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này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liên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quan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đến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cơ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sở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thường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trú</w:t>
      </w:r>
      <w:proofErr w:type="spellEnd"/>
      <w:r w:rsidRPr="00A065A0">
        <w:rPr>
          <w:rFonts w:ascii="Times New Roman" w:hAnsi="Times New Roman" w:cs="Times New Roman"/>
        </w:rPr>
        <w:t>.</w:t>
      </w:r>
    </w:p>
    <w:p w14:paraId="24BA0912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b/>
          <w:bCs/>
        </w:rPr>
        <w:t>(2)</w:t>
      </w:r>
      <w:r w:rsidRPr="00A065A0">
        <w:rPr>
          <w:rFonts w:ascii="Times New Roman" w:hAnsi="Times New Roman" w:cs="Times New Roman"/>
        </w:rPr>
        <w:t xml:space="preserve"> Doanh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nước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ngoài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cơ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sở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thường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trú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Việt Nam, bao </w:t>
      </w:r>
      <w:proofErr w:type="spellStart"/>
      <w:r w:rsidRPr="00A065A0">
        <w:rPr>
          <w:rFonts w:ascii="Times New Roman" w:hAnsi="Times New Roman" w:cs="Times New Roman"/>
        </w:rPr>
        <w:t>gồm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cả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TMĐT,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dựa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trên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nền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tảng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số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nộp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TNDN </w:t>
      </w:r>
      <w:proofErr w:type="spellStart"/>
      <w:r w:rsidRPr="00A065A0">
        <w:rPr>
          <w:rFonts w:ascii="Times New Roman" w:hAnsi="Times New Roman" w:cs="Times New Roman"/>
        </w:rPr>
        <w:t>đối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với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phát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Việt Nam.</w:t>
      </w:r>
    </w:p>
    <w:p w14:paraId="0FFAC47E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b/>
          <w:bCs/>
        </w:rPr>
        <w:t>Lưu ý:</w:t>
      </w:r>
      <w:r w:rsidRPr="00A065A0">
        <w:rPr>
          <w:rFonts w:ascii="Times New Roman" w:hAnsi="Times New Roman" w:cs="Times New Roman"/>
        </w:rPr>
        <w:t> </w:t>
      </w:r>
      <w:proofErr w:type="spellStart"/>
      <w:r w:rsidRPr="00A065A0">
        <w:rPr>
          <w:rFonts w:ascii="Times New Roman" w:hAnsi="Times New Roman" w:cs="Times New Roman"/>
        </w:rPr>
        <w:t>Đối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tượng</w:t>
      </w:r>
      <w:proofErr w:type="spellEnd"/>
      <w:r w:rsidRPr="00A065A0">
        <w:rPr>
          <w:rFonts w:ascii="Times New Roman" w:hAnsi="Times New Roman" w:cs="Times New Roman"/>
        </w:rPr>
        <w:t> </w:t>
      </w:r>
      <w:r w:rsidRPr="00A065A0">
        <w:rPr>
          <w:rFonts w:ascii="Times New Roman" w:hAnsi="Times New Roman" w:cs="Times New Roman"/>
          <w:b/>
          <w:bCs/>
        </w:rPr>
        <w:t>(1), (2)</w:t>
      </w:r>
      <w:r w:rsidRPr="00A065A0">
        <w:rPr>
          <w:rFonts w:ascii="Times New Roman" w:hAnsi="Times New Roman" w:cs="Times New Roman"/>
        </w:rPr>
        <w:t> </w:t>
      </w:r>
      <w:proofErr w:type="spellStart"/>
      <w:r w:rsidRPr="00A065A0">
        <w:rPr>
          <w:rFonts w:ascii="Times New Roman" w:hAnsi="Times New Roman" w:cs="Times New Roman"/>
        </w:rPr>
        <w:t>thực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hiện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nghĩa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vụ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kê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khai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nộp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thời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điểm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và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cách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tính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phát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Việt </w:t>
      </w:r>
      <w:proofErr w:type="gramStart"/>
      <w:r w:rsidRPr="00A065A0">
        <w:rPr>
          <w:rFonts w:ascii="Times New Roman" w:hAnsi="Times New Roman" w:cs="Times New Roman"/>
        </w:rPr>
        <w:t>Nam;</w:t>
      </w:r>
      <w:proofErr w:type="gramEnd"/>
    </w:p>
    <w:p w14:paraId="2250DE28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b/>
          <w:bCs/>
        </w:rPr>
        <w:t>(3) </w:t>
      </w:r>
      <w:r w:rsidRPr="00A065A0">
        <w:rPr>
          <w:rFonts w:ascii="Times New Roman" w:hAnsi="Times New Roman" w:cs="Times New Roman"/>
        </w:rPr>
        <w:t xml:space="preserve">Doanh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tổng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năm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quá</w:t>
      </w:r>
      <w:proofErr w:type="spellEnd"/>
      <w:r w:rsidRPr="00A065A0">
        <w:rPr>
          <w:rFonts w:ascii="Times New Roman" w:hAnsi="Times New Roman" w:cs="Times New Roman"/>
        </w:rPr>
        <w:t xml:space="preserve"> 03 </w:t>
      </w:r>
      <w:proofErr w:type="spellStart"/>
      <w:r w:rsidRPr="00A065A0">
        <w:rPr>
          <w:rFonts w:ascii="Times New Roman" w:hAnsi="Times New Roman" w:cs="Times New Roman"/>
        </w:rPr>
        <w:t>tỷ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đồng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khoản</w:t>
      </w:r>
      <w:proofErr w:type="spellEnd"/>
      <w:r w:rsidRPr="00A065A0">
        <w:rPr>
          <w:rFonts w:ascii="Times New Roman" w:hAnsi="Times New Roman" w:cs="Times New Roman"/>
        </w:rPr>
        <w:t xml:space="preserve"> 2 </w:t>
      </w:r>
      <w:proofErr w:type="spellStart"/>
      <w:r w:rsidRPr="00A065A0">
        <w:rPr>
          <w:rFonts w:ascii="Times New Roman" w:hAnsi="Times New Roman" w:cs="Times New Roman"/>
        </w:rPr>
        <w:t>Điều</w:t>
      </w:r>
      <w:proofErr w:type="spellEnd"/>
      <w:r w:rsidRPr="00A065A0">
        <w:rPr>
          <w:rFonts w:ascii="Times New Roman" w:hAnsi="Times New Roman" w:cs="Times New Roman"/>
        </w:rPr>
        <w:t xml:space="preserve"> 10 </w:t>
      </w:r>
      <w:proofErr w:type="spellStart"/>
      <w:r w:rsidRPr="00A065A0">
        <w:rPr>
          <w:rFonts w:ascii="Times New Roman" w:hAnsi="Times New Roman" w:cs="Times New Roman"/>
        </w:rPr>
        <w:fldChar w:fldCharType="begin"/>
      </w:r>
      <w:r w:rsidRPr="00A065A0">
        <w:rPr>
          <w:rFonts w:ascii="Times New Roman" w:hAnsi="Times New Roman" w:cs="Times New Roman"/>
        </w:rPr>
        <w:instrText>HYPERLINK "https://thuvienphapluat.vn/van-ban/Doanh-nghiep/Luat-Thue-thu-nhap-doanh-nghiep-2025-so-67-2025-QH15-580594.aspx?anchor=dieu_10" \t "_blank"</w:instrText>
      </w:r>
      <w:r w:rsidRPr="00A065A0">
        <w:rPr>
          <w:rFonts w:ascii="Times New Roman" w:hAnsi="Times New Roman" w:cs="Times New Roman"/>
        </w:rPr>
      </w:r>
      <w:r w:rsidRPr="00A065A0">
        <w:rPr>
          <w:rFonts w:ascii="Times New Roman" w:hAnsi="Times New Roman" w:cs="Times New Roman"/>
        </w:rPr>
        <w:fldChar w:fldCharType="separate"/>
      </w:r>
      <w:r w:rsidRPr="00A065A0">
        <w:rPr>
          <w:rStyle w:val="Hyperlink"/>
          <w:rFonts w:ascii="Times New Roman" w:hAnsi="Times New Roman" w:cs="Times New Roman"/>
          <w:color w:val="auto"/>
        </w:rPr>
        <w:t>Luật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Thuế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thu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nhập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doanh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nghiệp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2025</w:t>
      </w:r>
      <w:r w:rsidRPr="00A065A0">
        <w:rPr>
          <w:rFonts w:ascii="Times New Roman" w:hAnsi="Times New Roman" w:cs="Times New Roman"/>
        </w:rPr>
        <w:fldChar w:fldCharType="end"/>
      </w:r>
      <w:r w:rsidRPr="00A065A0">
        <w:rPr>
          <w:rFonts w:ascii="Times New Roman" w:hAnsi="Times New Roman" w:cs="Times New Roman"/>
        </w:rPr>
        <w:t> </w:t>
      </w:r>
      <w:proofErr w:type="spellStart"/>
      <w:r w:rsidRPr="00A065A0">
        <w:rPr>
          <w:rFonts w:ascii="Times New Roman" w:hAnsi="Times New Roman" w:cs="Times New Roman"/>
        </w:rPr>
        <w:t>trong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trường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hợp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chi </w:t>
      </w:r>
      <w:proofErr w:type="spellStart"/>
      <w:r w:rsidRPr="00A065A0">
        <w:rPr>
          <w:rFonts w:ascii="Times New Roman" w:hAnsi="Times New Roman" w:cs="Times New Roman"/>
        </w:rPr>
        <w:t>phí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>;</w:t>
      </w:r>
    </w:p>
    <w:p w14:paraId="7BE03619" w14:textId="1CE5D01B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</w:rPr>
        <w:lastRenderedPageBreak/>
        <w:t xml:space="preserve">(4) </w:t>
      </w:r>
      <w:proofErr w:type="spellStart"/>
      <w:r w:rsidRPr="00A065A0">
        <w:rPr>
          <w:rFonts w:ascii="Times New Roman" w:hAnsi="Times New Roman" w:cs="Times New Roman"/>
        </w:rPr>
        <w:t>Hợp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xã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liên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hợp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xã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đơn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vị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sự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và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tổ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chức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điểm</w:t>
      </w:r>
      <w:proofErr w:type="spellEnd"/>
      <w:r w:rsidRPr="00A065A0">
        <w:rPr>
          <w:rFonts w:ascii="Times New Roman" w:hAnsi="Times New Roman" w:cs="Times New Roman"/>
        </w:rPr>
        <w:t xml:space="preserve"> c, d </w:t>
      </w:r>
      <w:proofErr w:type="spellStart"/>
      <w:r w:rsidRPr="00A065A0">
        <w:rPr>
          <w:rFonts w:ascii="Times New Roman" w:hAnsi="Times New Roman" w:cs="Times New Roman"/>
        </w:rPr>
        <w:t>và</w:t>
      </w:r>
      <w:proofErr w:type="spellEnd"/>
      <w:r w:rsidRPr="00A065A0">
        <w:rPr>
          <w:rFonts w:ascii="Times New Roman" w:hAnsi="Times New Roman" w:cs="Times New Roman"/>
        </w:rPr>
        <w:t xml:space="preserve"> đ </w:t>
      </w:r>
      <w:proofErr w:type="spellStart"/>
      <w:r w:rsidRPr="00A065A0">
        <w:rPr>
          <w:rFonts w:ascii="Times New Roman" w:hAnsi="Times New Roman" w:cs="Times New Roman"/>
        </w:rPr>
        <w:t>khoản</w:t>
      </w:r>
      <w:proofErr w:type="spellEnd"/>
      <w:r w:rsidRPr="00A065A0">
        <w:rPr>
          <w:rFonts w:ascii="Times New Roman" w:hAnsi="Times New Roman" w:cs="Times New Roman"/>
        </w:rPr>
        <w:t xml:space="preserve"> 1 </w:t>
      </w:r>
      <w:proofErr w:type="spellStart"/>
      <w:r w:rsidRPr="00A065A0">
        <w:rPr>
          <w:rFonts w:ascii="Times New Roman" w:hAnsi="Times New Roman" w:cs="Times New Roman"/>
        </w:rPr>
        <w:t>Điều</w:t>
      </w:r>
      <w:proofErr w:type="spellEnd"/>
      <w:r w:rsidRPr="00A065A0">
        <w:rPr>
          <w:rFonts w:ascii="Times New Roman" w:hAnsi="Times New Roman" w:cs="Times New Roman"/>
        </w:rPr>
        <w:t xml:space="preserve"> 2 </w:t>
      </w:r>
      <w:proofErr w:type="spellStart"/>
      <w:r w:rsidRPr="00A065A0">
        <w:rPr>
          <w:rFonts w:ascii="Times New Roman" w:hAnsi="Times New Roman" w:cs="Times New Roman"/>
        </w:rPr>
        <w:fldChar w:fldCharType="begin"/>
      </w:r>
      <w:r w:rsidRPr="00A065A0">
        <w:rPr>
          <w:rFonts w:ascii="Times New Roman" w:hAnsi="Times New Roman" w:cs="Times New Roman"/>
        </w:rPr>
        <w:instrText>HYPERLINK "https://thuvienphapluat.vn/van-ban/Doanh-nghiep/Luat-Thue-thu-nhap-doanh-nghiep-2025-so-67-2025-QH15-580594.aspx?anchor=dieu_2" \t "_blank"</w:instrText>
      </w:r>
      <w:r w:rsidRPr="00A065A0">
        <w:rPr>
          <w:rFonts w:ascii="Times New Roman" w:hAnsi="Times New Roman" w:cs="Times New Roman"/>
        </w:rPr>
      </w:r>
      <w:r w:rsidRPr="00A065A0">
        <w:rPr>
          <w:rFonts w:ascii="Times New Roman" w:hAnsi="Times New Roman" w:cs="Times New Roman"/>
        </w:rPr>
        <w:fldChar w:fldCharType="separate"/>
      </w:r>
      <w:r w:rsidRPr="00A065A0">
        <w:rPr>
          <w:rStyle w:val="Hyperlink"/>
          <w:rFonts w:ascii="Times New Roman" w:hAnsi="Times New Roman" w:cs="Times New Roman"/>
          <w:color w:val="auto"/>
        </w:rPr>
        <w:t>Luật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Thuế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thu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nhập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doanh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A065A0">
        <w:rPr>
          <w:rStyle w:val="Hyperlink"/>
          <w:rFonts w:ascii="Times New Roman" w:hAnsi="Times New Roman" w:cs="Times New Roman"/>
          <w:color w:val="auto"/>
        </w:rPr>
        <w:t>nghiệp</w:t>
      </w:r>
      <w:proofErr w:type="spellEnd"/>
      <w:r w:rsidRPr="00A065A0">
        <w:rPr>
          <w:rStyle w:val="Hyperlink"/>
          <w:rFonts w:ascii="Times New Roman" w:hAnsi="Times New Roman" w:cs="Times New Roman"/>
          <w:color w:val="auto"/>
        </w:rPr>
        <w:t xml:space="preserve"> 2025 </w:t>
      </w:r>
      <w:proofErr w:type="spellStart"/>
      <w:r w:rsidRPr="00A065A0">
        <w:rPr>
          <w:rFonts w:ascii="Times New Roman" w:hAnsi="Times New Roman" w:cs="Times New Roman"/>
        </w:rPr>
        <w:fldChar w:fldCharType="end"/>
      </w:r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hàng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hoá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dịch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vụ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(</w:t>
      </w:r>
      <w:proofErr w:type="spellStart"/>
      <w:r w:rsidRPr="00A065A0">
        <w:rPr>
          <w:rFonts w:ascii="Times New Roman" w:hAnsi="Times New Roman" w:cs="Times New Roman"/>
        </w:rPr>
        <w:t>trừ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miễn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tại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Điều</w:t>
      </w:r>
      <w:proofErr w:type="spellEnd"/>
      <w:r w:rsidRPr="00A065A0">
        <w:rPr>
          <w:rFonts w:ascii="Times New Roman" w:hAnsi="Times New Roman" w:cs="Times New Roman"/>
        </w:rPr>
        <w:t xml:space="preserve"> 4</w:t>
      </w:r>
      <w:hyperlink r:id="rId5" w:tgtFrame="_blank" w:history="1">
        <w:r w:rsidRPr="00A065A0">
          <w:rPr>
            <w:rStyle w:val="Hyperlink"/>
            <w:rFonts w:ascii="Times New Roman" w:hAnsi="Times New Roman" w:cs="Times New Roman"/>
            <w:color w:val="auto"/>
          </w:rPr>
          <w:t> 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Luật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Thuế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nhập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doanh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nghiệp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2025</w:t>
        </w:r>
      </w:hyperlink>
      <w:r w:rsidRPr="00A065A0">
        <w:rPr>
          <w:rFonts w:ascii="Times New Roman" w:hAnsi="Times New Roman" w:cs="Times New Roman"/>
        </w:rPr>
        <w:t xml:space="preserve">) </w:t>
      </w:r>
      <w:proofErr w:type="spellStart"/>
      <w:r w:rsidRPr="00A065A0">
        <w:rPr>
          <w:rFonts w:ascii="Times New Roman" w:hAnsi="Times New Roman" w:cs="Times New Roman"/>
        </w:rPr>
        <w:t>mà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đơn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vị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này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hạch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toán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chi </w:t>
      </w:r>
      <w:proofErr w:type="spellStart"/>
      <w:r w:rsidRPr="00A065A0">
        <w:rPr>
          <w:rFonts w:ascii="Times New Roman" w:hAnsi="Times New Roman" w:cs="Times New Roman"/>
        </w:rPr>
        <w:t>phí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>.</w:t>
      </w:r>
    </w:p>
    <w:p w14:paraId="395E15C0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b/>
          <w:bCs/>
        </w:rPr>
        <w:t xml:space="preserve">DN </w:t>
      </w:r>
      <w:proofErr w:type="spellStart"/>
      <w:r w:rsidRPr="00A065A0">
        <w:rPr>
          <w:rFonts w:ascii="Times New Roman" w:hAnsi="Times New Roman" w:cs="Times New Roman"/>
          <w:b/>
          <w:bCs/>
        </w:rPr>
        <w:t>có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nhiều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hoạt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động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kinh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doanh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trong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thì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xác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định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thu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nhập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chịu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thuế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TNDN </w:t>
      </w:r>
      <w:proofErr w:type="spellStart"/>
      <w:r w:rsidRPr="00A065A0">
        <w:rPr>
          <w:rFonts w:ascii="Times New Roman" w:hAnsi="Times New Roman" w:cs="Times New Roman"/>
          <w:b/>
          <w:bCs/>
        </w:rPr>
        <w:t>như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thế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nào</w:t>
      </w:r>
      <w:proofErr w:type="spellEnd"/>
      <w:r w:rsidRPr="00A065A0">
        <w:rPr>
          <w:rFonts w:ascii="Times New Roman" w:hAnsi="Times New Roman" w:cs="Times New Roman"/>
          <w:b/>
          <w:bCs/>
        </w:rPr>
        <w:t>?</w:t>
      </w:r>
    </w:p>
    <w:p w14:paraId="6975477B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</w:rPr>
        <w:t xml:space="preserve">Theo </w:t>
      </w:r>
      <w:proofErr w:type="spellStart"/>
      <w:r w:rsidRPr="00A065A0">
        <w:rPr>
          <w:rFonts w:ascii="Times New Roman" w:hAnsi="Times New Roman" w:cs="Times New Roman"/>
        </w:rPr>
        <w:t>khoản</w:t>
      </w:r>
      <w:proofErr w:type="spellEnd"/>
      <w:r w:rsidRPr="00A065A0">
        <w:rPr>
          <w:rFonts w:ascii="Times New Roman" w:hAnsi="Times New Roman" w:cs="Times New Roman"/>
        </w:rPr>
        <w:t xml:space="preserve"> 3 </w:t>
      </w:r>
      <w:proofErr w:type="spellStart"/>
      <w:r w:rsidRPr="00A065A0">
        <w:rPr>
          <w:rFonts w:ascii="Times New Roman" w:hAnsi="Times New Roman" w:cs="Times New Roman"/>
        </w:rPr>
        <w:t>Điều</w:t>
      </w:r>
      <w:proofErr w:type="spellEnd"/>
      <w:r w:rsidRPr="00A065A0">
        <w:rPr>
          <w:rFonts w:ascii="Times New Roman" w:hAnsi="Times New Roman" w:cs="Times New Roman"/>
        </w:rPr>
        <w:t xml:space="preserve"> 7</w:t>
      </w:r>
      <w:hyperlink r:id="rId6" w:tgtFrame="_blank" w:history="1">
        <w:r w:rsidRPr="00A065A0">
          <w:rPr>
            <w:rStyle w:val="Hyperlink"/>
            <w:rFonts w:ascii="Times New Roman" w:hAnsi="Times New Roman" w:cs="Times New Roman"/>
            <w:color w:val="auto"/>
          </w:rPr>
          <w:t> 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Luật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Thuế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nhập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doanh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nghiệp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2025</w:t>
        </w:r>
      </w:hyperlink>
      <w:r w:rsidRPr="00A065A0">
        <w:rPr>
          <w:rFonts w:ascii="Times New Roman" w:hAnsi="Times New Roman" w:cs="Times New Roman"/>
        </w:rPr>
        <w:t> 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về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TNDN </w:t>
      </w:r>
      <w:proofErr w:type="spellStart"/>
      <w:r w:rsidRPr="00A065A0">
        <w:rPr>
          <w:rFonts w:ascii="Times New Roman" w:hAnsi="Times New Roman" w:cs="Times New Roman"/>
        </w:rPr>
        <w:t>như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sau</w:t>
      </w:r>
      <w:proofErr w:type="spellEnd"/>
      <w:r w:rsidRPr="00A065A0">
        <w:rPr>
          <w:rFonts w:ascii="Times New Roman" w:hAnsi="Times New Roman" w:cs="Times New Roman"/>
        </w:rPr>
        <w:t>:</w:t>
      </w:r>
    </w:p>
    <w:p w14:paraId="788ACC5F" w14:textId="6D5BA823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Xác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thuế</w:t>
      </w:r>
      <w:proofErr w:type="spellEnd"/>
    </w:p>
    <w:p w14:paraId="7FCF4933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3. Doanh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trong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thì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là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tổng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cả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. Trường </w:t>
      </w:r>
      <w:proofErr w:type="spellStart"/>
      <w:r w:rsidRPr="00A065A0">
        <w:rPr>
          <w:rFonts w:ascii="Times New Roman" w:hAnsi="Times New Roman" w:cs="Times New Roman"/>
          <w:i/>
          <w:iCs/>
        </w:rPr>
        <w:t>hợp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bị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thì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bù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số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vào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lựa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chọn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đầu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tư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quyền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tham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gia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đầu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tư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không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bù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với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đang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hưởng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ưu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đãi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). </w:t>
      </w:r>
      <w:proofErr w:type="spellStart"/>
      <w:r w:rsidRPr="00A065A0">
        <w:rPr>
          <w:rFonts w:ascii="Times New Roman" w:hAnsi="Times New Roman" w:cs="Times New Roman"/>
          <w:i/>
          <w:iCs/>
        </w:rPr>
        <w:t>Phần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còn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sau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bù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dụng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mức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xuất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doanh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còn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>.</w:t>
      </w:r>
    </w:p>
    <w:p w14:paraId="4E3830EC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4. Thu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đầu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tư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dò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biến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khoáng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quyền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tham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gia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đầu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tư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dò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biến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khoáng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quyền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dò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biến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khoáng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phải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xác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riêng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để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kê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nộp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không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bù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>,</w:t>
      </w:r>
      <w:r w:rsidRPr="00A065A0">
        <w:rPr>
          <w:rFonts w:ascii="Times New Roman" w:hAnsi="Times New Roman" w:cs="Times New Roman"/>
        </w:rPr>
        <w:t> </w:t>
      </w:r>
      <w:proofErr w:type="spellStart"/>
      <w:r w:rsidRPr="00A065A0">
        <w:rPr>
          <w:rFonts w:ascii="Times New Roman" w:hAnsi="Times New Roman" w:cs="Times New Roman"/>
        </w:rPr>
        <w:t>lãi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với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trong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tính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>.</w:t>
      </w:r>
    </w:p>
    <w:p w14:paraId="5CB9B043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  <w:b/>
          <w:bCs/>
        </w:rPr>
        <w:t>Vì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vậy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trên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nhiều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trong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tính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thì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là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tổng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tất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cả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>.</w:t>
      </w:r>
    </w:p>
    <w:p w14:paraId="5AABF512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</w:rPr>
        <w:t xml:space="preserve">Trường </w:t>
      </w:r>
      <w:proofErr w:type="spellStart"/>
      <w:r w:rsidRPr="00A065A0">
        <w:rPr>
          <w:rFonts w:ascii="Times New Roman" w:hAnsi="Times New Roman" w:cs="Times New Roman"/>
        </w:rPr>
        <w:t>hợp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bị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lỗ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thì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bù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số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lỗ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vào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chịu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các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có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do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tự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lựa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chọn</w:t>
      </w:r>
      <w:proofErr w:type="spellEnd"/>
      <w:r w:rsidRPr="00A065A0">
        <w:rPr>
          <w:rFonts w:ascii="Times New Roman" w:hAnsi="Times New Roman" w:cs="Times New Roman"/>
        </w:rPr>
        <w:t xml:space="preserve"> (</w:t>
      </w:r>
      <w:proofErr w:type="spellStart"/>
      <w:r w:rsidRPr="00A065A0">
        <w:rPr>
          <w:rFonts w:ascii="Times New Roman" w:hAnsi="Times New Roman" w:cs="Times New Roman"/>
        </w:rPr>
        <w:t>trừ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chuyển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nhượng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bất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chuyển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nhượng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dự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án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đầu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tư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chuyển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nhượng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quyền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tham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gia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dự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án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đầu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tư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bù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với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đang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hưởng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ưu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đãi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>).</w:t>
      </w:r>
    </w:p>
    <w:p w14:paraId="11E5A19D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</w:rPr>
        <w:t>Phần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còn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lại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sau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bù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áp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dụng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mức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suất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thuế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hoạt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động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sản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xuất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còn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thu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nhập</w:t>
      </w:r>
      <w:proofErr w:type="spellEnd"/>
      <w:r w:rsidRPr="00A065A0">
        <w:rPr>
          <w:rFonts w:ascii="Times New Roman" w:hAnsi="Times New Roman" w:cs="Times New Roman"/>
        </w:rPr>
        <w:t>.</w:t>
      </w:r>
    </w:p>
    <w:p w14:paraId="3175B0FE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  <w:b/>
          <w:bCs/>
        </w:rPr>
        <w:t>Thời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gian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được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chuyển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lỗ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của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doanh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nghiệp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là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bao </w:t>
      </w:r>
      <w:proofErr w:type="spellStart"/>
      <w:r w:rsidRPr="00A065A0">
        <w:rPr>
          <w:rFonts w:ascii="Times New Roman" w:hAnsi="Times New Roman" w:cs="Times New Roman"/>
          <w:b/>
          <w:bCs/>
        </w:rPr>
        <w:t>lâu</w:t>
      </w:r>
      <w:proofErr w:type="spellEnd"/>
      <w:r w:rsidRPr="00A065A0">
        <w:rPr>
          <w:rFonts w:ascii="Times New Roman" w:hAnsi="Times New Roman" w:cs="Times New Roman"/>
          <w:b/>
          <w:bCs/>
        </w:rPr>
        <w:t>?</w:t>
      </w:r>
    </w:p>
    <w:p w14:paraId="0B13D984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</w:rPr>
        <w:t>Căn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cứ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Điều</w:t>
      </w:r>
      <w:proofErr w:type="spellEnd"/>
      <w:r w:rsidRPr="00A065A0">
        <w:rPr>
          <w:rFonts w:ascii="Times New Roman" w:hAnsi="Times New Roman" w:cs="Times New Roman"/>
        </w:rPr>
        <w:t xml:space="preserve"> 16</w:t>
      </w:r>
      <w:hyperlink r:id="rId7" w:tgtFrame="_blank" w:history="1">
        <w:r w:rsidRPr="00A065A0">
          <w:rPr>
            <w:rStyle w:val="Hyperlink"/>
            <w:rFonts w:ascii="Times New Roman" w:hAnsi="Times New Roman" w:cs="Times New Roman"/>
            <w:color w:val="auto"/>
          </w:rPr>
          <w:t> 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Luật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Thuế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thu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nhập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doanh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A065A0">
          <w:rPr>
            <w:rStyle w:val="Hyperlink"/>
            <w:rFonts w:ascii="Times New Roman" w:hAnsi="Times New Roman" w:cs="Times New Roman"/>
            <w:color w:val="auto"/>
          </w:rPr>
          <w:t>nghiệp</w:t>
        </w:r>
        <w:proofErr w:type="spellEnd"/>
        <w:r w:rsidRPr="00A065A0">
          <w:rPr>
            <w:rStyle w:val="Hyperlink"/>
            <w:rFonts w:ascii="Times New Roman" w:hAnsi="Times New Roman" w:cs="Times New Roman"/>
            <w:color w:val="auto"/>
          </w:rPr>
          <w:t xml:space="preserve"> 2025</w:t>
        </w:r>
      </w:hyperlink>
      <w:r w:rsidRPr="00A065A0">
        <w:rPr>
          <w:rFonts w:ascii="Times New Roman" w:hAnsi="Times New Roman" w:cs="Times New Roman"/>
        </w:rPr>
        <w:t> 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như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sau</w:t>
      </w:r>
      <w:proofErr w:type="spellEnd"/>
      <w:r w:rsidRPr="00A065A0">
        <w:rPr>
          <w:rFonts w:ascii="Times New Roman" w:hAnsi="Times New Roman" w:cs="Times New Roman"/>
        </w:rPr>
        <w:t>:</w:t>
      </w:r>
    </w:p>
    <w:p w14:paraId="138C5D3F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  <w:i/>
          <w:iCs/>
        </w:rPr>
        <w:t>lỗ</w:t>
      </w:r>
      <w:proofErr w:type="spellEnd"/>
    </w:p>
    <w:p w14:paraId="0AE1E786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lastRenderedPageBreak/>
        <w:t xml:space="preserve">1. Doanh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sang </w:t>
      </w:r>
      <w:proofErr w:type="spellStart"/>
      <w:r w:rsidRPr="00A065A0">
        <w:rPr>
          <w:rFonts w:ascii="Times New Roman" w:hAnsi="Times New Roman" w:cs="Times New Roman"/>
          <w:i/>
          <w:iCs/>
        </w:rPr>
        <w:t>năm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sau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065A0">
        <w:rPr>
          <w:rFonts w:ascii="Times New Roman" w:hAnsi="Times New Roman" w:cs="Times New Roman"/>
          <w:i/>
          <w:iCs/>
        </w:rPr>
        <w:t>số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trừ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vào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065A0">
        <w:rPr>
          <w:rFonts w:ascii="Times New Roman" w:hAnsi="Times New Roman" w:cs="Times New Roman"/>
          <w:i/>
          <w:iCs/>
        </w:rPr>
        <w:t>Thời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gian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tính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liên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tục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không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quá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05 </w:t>
      </w:r>
      <w:proofErr w:type="spellStart"/>
      <w:r w:rsidRPr="00A065A0">
        <w:rPr>
          <w:rFonts w:ascii="Times New Roman" w:hAnsi="Times New Roman" w:cs="Times New Roman"/>
          <w:i/>
          <w:iCs/>
        </w:rPr>
        <w:t>năm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kể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tiếp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theo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phát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sinh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>.</w:t>
      </w:r>
    </w:p>
    <w:p w14:paraId="177BA48C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r w:rsidRPr="00A065A0">
        <w:rPr>
          <w:rFonts w:ascii="Times New Roman" w:hAnsi="Times New Roman" w:cs="Times New Roman"/>
          <w:i/>
          <w:iCs/>
        </w:rPr>
        <w:t xml:space="preserve">2. Doanh </w:t>
      </w:r>
      <w:proofErr w:type="spellStart"/>
      <w:r w:rsidRPr="00A065A0">
        <w:rPr>
          <w:rFonts w:ascii="Times New Roman" w:hAnsi="Times New Roman" w:cs="Times New Roman"/>
          <w:i/>
          <w:iCs/>
        </w:rPr>
        <w:t>nghiệp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từ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dò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khoáng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quyền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tham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gia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dự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án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dò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biến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khoáng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nhượng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quyền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dò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khai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thác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065A0">
        <w:rPr>
          <w:rFonts w:ascii="Times New Roman" w:hAnsi="Times New Roman" w:cs="Times New Roman"/>
          <w:i/>
          <w:iCs/>
        </w:rPr>
        <w:t>chế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biến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khoáng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được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sang </w:t>
      </w:r>
      <w:proofErr w:type="spellStart"/>
      <w:r w:rsidRPr="00A065A0">
        <w:rPr>
          <w:rFonts w:ascii="Times New Roman" w:hAnsi="Times New Roman" w:cs="Times New Roman"/>
          <w:i/>
          <w:iCs/>
        </w:rPr>
        <w:t>năm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sau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vào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nhập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chịu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thuế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của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hoạt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động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đó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065A0">
        <w:rPr>
          <w:rFonts w:ascii="Times New Roman" w:hAnsi="Times New Roman" w:cs="Times New Roman"/>
          <w:i/>
          <w:iCs/>
        </w:rPr>
        <w:t>Thời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gian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chuyển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lỗ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theo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quy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định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tại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khoản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Pr="00A065A0">
        <w:rPr>
          <w:rFonts w:ascii="Times New Roman" w:hAnsi="Times New Roman" w:cs="Times New Roman"/>
          <w:i/>
          <w:iCs/>
        </w:rPr>
        <w:t>Điều</w:t>
      </w:r>
      <w:proofErr w:type="spellEnd"/>
      <w:r w:rsidRPr="00A065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5A0">
        <w:rPr>
          <w:rFonts w:ascii="Times New Roman" w:hAnsi="Times New Roman" w:cs="Times New Roman"/>
          <w:i/>
          <w:iCs/>
        </w:rPr>
        <w:t>này</w:t>
      </w:r>
      <w:proofErr w:type="spellEnd"/>
      <w:r w:rsidRPr="00A065A0">
        <w:rPr>
          <w:rFonts w:ascii="Times New Roman" w:hAnsi="Times New Roman" w:cs="Times New Roman"/>
          <w:i/>
          <w:iCs/>
        </w:rPr>
        <w:t>.</w:t>
      </w:r>
    </w:p>
    <w:p w14:paraId="7D64506B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  <w:proofErr w:type="spellStart"/>
      <w:r w:rsidRPr="00A065A0">
        <w:rPr>
          <w:rFonts w:ascii="Times New Roman" w:hAnsi="Times New Roman" w:cs="Times New Roman"/>
          <w:b/>
          <w:bCs/>
        </w:rPr>
        <w:t>Vậy</w:t>
      </w:r>
      <w:proofErr w:type="spellEnd"/>
      <w:r w:rsidRPr="00A065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65A0">
        <w:rPr>
          <w:rFonts w:ascii="Times New Roman" w:hAnsi="Times New Roman" w:cs="Times New Roman"/>
          <w:b/>
          <w:bCs/>
        </w:rPr>
        <w:t>nên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quy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định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trên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thời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gian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được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chuyển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lỗ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của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doanh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nghiệp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tính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liên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tục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không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quá</w:t>
      </w:r>
      <w:proofErr w:type="spellEnd"/>
      <w:r w:rsidRPr="00A065A0">
        <w:rPr>
          <w:rFonts w:ascii="Times New Roman" w:hAnsi="Times New Roman" w:cs="Times New Roman"/>
        </w:rPr>
        <w:t xml:space="preserve"> 05 </w:t>
      </w:r>
      <w:proofErr w:type="spellStart"/>
      <w:r w:rsidRPr="00A065A0">
        <w:rPr>
          <w:rFonts w:ascii="Times New Roman" w:hAnsi="Times New Roman" w:cs="Times New Roman"/>
        </w:rPr>
        <w:t>năm</w:t>
      </w:r>
      <w:proofErr w:type="spellEnd"/>
      <w:r w:rsidRPr="00A065A0">
        <w:rPr>
          <w:rFonts w:ascii="Times New Roman" w:hAnsi="Times New Roman" w:cs="Times New Roman"/>
        </w:rPr>
        <w:t xml:space="preserve">, </w:t>
      </w:r>
      <w:proofErr w:type="spellStart"/>
      <w:r w:rsidRPr="00A065A0">
        <w:rPr>
          <w:rFonts w:ascii="Times New Roman" w:hAnsi="Times New Roman" w:cs="Times New Roman"/>
        </w:rPr>
        <w:t>kể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từ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năm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tiếp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theo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năm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phát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sinh</w:t>
      </w:r>
      <w:proofErr w:type="spellEnd"/>
      <w:r w:rsidRPr="00A065A0">
        <w:rPr>
          <w:rFonts w:ascii="Times New Roman" w:hAnsi="Times New Roman" w:cs="Times New Roman"/>
        </w:rPr>
        <w:t xml:space="preserve"> </w:t>
      </w:r>
      <w:proofErr w:type="spellStart"/>
      <w:r w:rsidRPr="00A065A0">
        <w:rPr>
          <w:rFonts w:ascii="Times New Roman" w:hAnsi="Times New Roman" w:cs="Times New Roman"/>
        </w:rPr>
        <w:t>lỗ</w:t>
      </w:r>
      <w:proofErr w:type="spellEnd"/>
      <w:r w:rsidRPr="00A065A0">
        <w:rPr>
          <w:rFonts w:ascii="Times New Roman" w:hAnsi="Times New Roman" w:cs="Times New Roman"/>
        </w:rPr>
        <w:t>.</w:t>
      </w:r>
    </w:p>
    <w:p w14:paraId="53CF6116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</w:p>
    <w:p w14:paraId="6704F0F0" w14:textId="77777777" w:rsidR="00A065A0" w:rsidRPr="00A065A0" w:rsidRDefault="00A065A0" w:rsidP="00A065A0">
      <w:pPr>
        <w:jc w:val="both"/>
        <w:rPr>
          <w:rFonts w:ascii="Times New Roman" w:hAnsi="Times New Roman" w:cs="Times New Roman"/>
        </w:rPr>
      </w:pPr>
    </w:p>
    <w:sectPr w:rsidR="00A065A0" w:rsidRPr="00A0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A0"/>
    <w:rsid w:val="009A7584"/>
    <w:rsid w:val="00A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85BC"/>
  <w15:chartTrackingRefBased/>
  <w15:docId w15:val="{68E703D3-A87B-4C79-ABB5-D5E31DAF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Doanh-nghiep/Luat-Thue-thu-nhap-doanh-nghiep-2025-so-67-2025-QH15-580594.aspx?anchor=dieu_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Doanh-nghiep/Luat-Thue-thu-nhap-doanh-nghiep-2025-so-67-2025-QH15-580594.aspx?anchor=dieu_7" TargetMode="External"/><Relationship Id="rId5" Type="http://schemas.openxmlformats.org/officeDocument/2006/relationships/hyperlink" Target="https://thuvienphapluat.vn/van-ban/Doanh-nghiep/Luat-Thue-thu-nhap-doanh-nghiep-2025-so-67-2025-QH15-580594.aspx?anchor=dieu_4" TargetMode="External"/><Relationship Id="rId4" Type="http://schemas.openxmlformats.org/officeDocument/2006/relationships/hyperlink" Target="https://thuvienphapluat.vn/van-ban/Doanh-nghiep/Luat-Thue-thu-nhap-doanh-nghiep-2025-so-67-2025-QH15-580594.aspx?anchor=dieu_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2025-10-15T05:53:00Z</dcterms:created>
  <dcterms:modified xsi:type="dcterms:W3CDTF">2025-10-15T06:00:00Z</dcterms:modified>
</cp:coreProperties>
</file>