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17F53" w14:textId="6CF77DC0" w:rsidR="002B4871" w:rsidRDefault="002B4871" w:rsidP="00F003C3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vi-VN"/>
        </w:rPr>
      </w:pPr>
      <w:r w:rsidRPr="002B4871">
        <w:rPr>
          <w:rFonts w:ascii="Times New Roman" w:hAnsi="Times New Roman" w:cs="Times New Roman"/>
          <w:b/>
          <w:bCs/>
          <w:sz w:val="32"/>
          <w:szCs w:val="32"/>
        </w:rPr>
        <w:t xml:space="preserve">Thông </w:t>
      </w:r>
      <w:proofErr w:type="spellStart"/>
      <w:r w:rsidRPr="002B4871">
        <w:rPr>
          <w:rFonts w:ascii="Times New Roman" w:hAnsi="Times New Roman" w:cs="Times New Roman"/>
          <w:b/>
          <w:bCs/>
          <w:sz w:val="32"/>
          <w:szCs w:val="32"/>
        </w:rPr>
        <w:t>tư</w:t>
      </w:r>
      <w:proofErr w:type="spellEnd"/>
      <w:r w:rsidRPr="002B4871">
        <w:rPr>
          <w:rFonts w:ascii="Times New Roman" w:hAnsi="Times New Roman" w:cs="Times New Roman"/>
          <w:b/>
          <w:bCs/>
          <w:sz w:val="32"/>
          <w:szCs w:val="32"/>
        </w:rPr>
        <w:t xml:space="preserve"> 99 </w:t>
      </w:r>
      <w:proofErr w:type="spellStart"/>
      <w:r w:rsidRPr="002B4871">
        <w:rPr>
          <w:rFonts w:ascii="Times New Roman" w:hAnsi="Times New Roman" w:cs="Times New Roman"/>
          <w:b/>
          <w:bCs/>
          <w:sz w:val="32"/>
          <w:szCs w:val="32"/>
        </w:rPr>
        <w:t>thay</w:t>
      </w:r>
      <w:proofErr w:type="spellEnd"/>
      <w:r w:rsidRPr="002B487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32"/>
          <w:szCs w:val="32"/>
        </w:rPr>
        <w:t>thế</w:t>
      </w:r>
      <w:proofErr w:type="spellEnd"/>
      <w:r w:rsidRPr="002B4871">
        <w:rPr>
          <w:rFonts w:ascii="Times New Roman" w:hAnsi="Times New Roman" w:cs="Times New Roman"/>
          <w:b/>
          <w:bCs/>
          <w:sz w:val="32"/>
          <w:szCs w:val="32"/>
        </w:rPr>
        <w:t xml:space="preserve"> Thông </w:t>
      </w:r>
      <w:proofErr w:type="spellStart"/>
      <w:r w:rsidRPr="002B4871">
        <w:rPr>
          <w:rFonts w:ascii="Times New Roman" w:hAnsi="Times New Roman" w:cs="Times New Roman"/>
          <w:b/>
          <w:bCs/>
          <w:sz w:val="32"/>
          <w:szCs w:val="32"/>
        </w:rPr>
        <w:t>tư</w:t>
      </w:r>
      <w:proofErr w:type="spellEnd"/>
      <w:r w:rsidRPr="002B4871">
        <w:rPr>
          <w:rFonts w:ascii="Times New Roman" w:hAnsi="Times New Roman" w:cs="Times New Roman"/>
          <w:b/>
          <w:bCs/>
          <w:sz w:val="32"/>
          <w:szCs w:val="32"/>
        </w:rPr>
        <w:t xml:space="preserve"> 200 — </w:t>
      </w:r>
      <w:proofErr w:type="spellStart"/>
      <w:r w:rsidRPr="002B4871">
        <w:rPr>
          <w:rFonts w:ascii="Times New Roman" w:hAnsi="Times New Roman" w:cs="Times New Roman"/>
          <w:b/>
          <w:bCs/>
          <w:sz w:val="32"/>
          <w:szCs w:val="32"/>
        </w:rPr>
        <w:t>bước</w:t>
      </w:r>
      <w:proofErr w:type="spellEnd"/>
      <w:r w:rsidRPr="002B487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32"/>
          <w:szCs w:val="32"/>
        </w:rPr>
        <w:t>chuyển</w:t>
      </w:r>
      <w:proofErr w:type="spellEnd"/>
      <w:r w:rsidRPr="002B487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32"/>
          <w:szCs w:val="32"/>
        </w:rPr>
        <w:t>lớn</w:t>
      </w:r>
      <w:proofErr w:type="spellEnd"/>
      <w:r w:rsidRPr="002B487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32"/>
          <w:szCs w:val="32"/>
        </w:rPr>
        <w:t>trong</w:t>
      </w:r>
      <w:proofErr w:type="spellEnd"/>
      <w:r w:rsidRPr="002B487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32"/>
          <w:szCs w:val="32"/>
        </w:rPr>
        <w:t>chế</w:t>
      </w:r>
      <w:proofErr w:type="spellEnd"/>
      <w:r w:rsidRPr="002B487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32"/>
          <w:szCs w:val="32"/>
        </w:rPr>
        <w:t>độ</w:t>
      </w:r>
      <w:proofErr w:type="spellEnd"/>
      <w:r w:rsidRPr="002B487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32"/>
          <w:szCs w:val="32"/>
        </w:rPr>
        <w:t>kế</w:t>
      </w:r>
      <w:proofErr w:type="spellEnd"/>
      <w:r w:rsidRPr="002B487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32"/>
          <w:szCs w:val="32"/>
        </w:rPr>
        <w:t>toán</w:t>
      </w:r>
      <w:proofErr w:type="spellEnd"/>
      <w:r w:rsidRPr="002B487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32"/>
          <w:szCs w:val="32"/>
        </w:rPr>
        <w:t>doanh</w:t>
      </w:r>
      <w:proofErr w:type="spellEnd"/>
      <w:r w:rsidRPr="002B487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32"/>
          <w:szCs w:val="32"/>
        </w:rPr>
        <w:t>nghiệp</w:t>
      </w:r>
      <w:proofErr w:type="spellEnd"/>
    </w:p>
    <w:p w14:paraId="47056EE1" w14:textId="14427AA0" w:rsidR="00F003C3" w:rsidRDefault="00F003C3" w:rsidP="00F003C3">
      <w:pPr>
        <w:jc w:val="right"/>
        <w:rPr>
          <w:rFonts w:ascii="Times New Roman" w:hAnsi="Times New Roman" w:cs="Times New Roman"/>
          <w:b/>
          <w:bCs/>
          <w:sz w:val="32"/>
          <w:szCs w:val="32"/>
          <w:lang w:val="vi-VN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vi-VN"/>
        </w:rPr>
        <w:t>Ngô Thị Kiều Trang</w:t>
      </w:r>
    </w:p>
    <w:p w14:paraId="6F22DDAE" w14:textId="77777777" w:rsidR="00F003C3" w:rsidRPr="00F003C3" w:rsidRDefault="00F003C3" w:rsidP="00F003C3">
      <w:pPr>
        <w:jc w:val="right"/>
        <w:rPr>
          <w:rFonts w:ascii="Times New Roman" w:hAnsi="Times New Roman" w:cs="Times New Roman"/>
          <w:b/>
          <w:bCs/>
          <w:sz w:val="32"/>
          <w:szCs w:val="32"/>
          <w:lang w:val="vi-VN"/>
        </w:rPr>
      </w:pPr>
    </w:p>
    <w:p w14:paraId="12707E1E" w14:textId="346FDDA5" w:rsidR="002B4871" w:rsidRPr="002B4871" w:rsidRDefault="002B4871" w:rsidP="00F003C3">
      <w:pPr>
        <w:jc w:val="both"/>
        <w:rPr>
          <w:rFonts w:ascii="Times New Roman" w:hAnsi="Times New Roman" w:cs="Times New Roman"/>
          <w:sz w:val="26"/>
          <w:szCs w:val="26"/>
        </w:rPr>
      </w:pPr>
      <w:r w:rsidRPr="002B4871">
        <w:rPr>
          <w:rFonts w:ascii="Times New Roman" w:hAnsi="Times New Roman" w:cs="Times New Roman"/>
          <w:sz w:val="26"/>
          <w:szCs w:val="26"/>
        </w:rPr>
        <w:t xml:space="preserve">Thông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r w:rsidRPr="002B4871">
        <w:rPr>
          <w:rFonts w:ascii="Times New Roman" w:hAnsi="Times New Roman" w:cs="Times New Roman"/>
          <w:b/>
          <w:bCs/>
          <w:sz w:val="26"/>
          <w:szCs w:val="26"/>
        </w:rPr>
        <w:t>99/2025/TT-BTC</w:t>
      </w:r>
      <w:r w:rsidRPr="002B4871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01/01/2026)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thay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Thông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tư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200/2014/TT-BTC</w:t>
      </w:r>
      <w:r w:rsidRPr="002B4871">
        <w:rPr>
          <w:rFonts w:ascii="Times New Roman" w:hAnsi="Times New Roman" w:cs="Times New Roman"/>
          <w:sz w:val="26"/>
          <w:szCs w:val="26"/>
        </w:rPr>
        <w:t xml:space="preserve">. Văn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chỉnh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diện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dung: chứng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khoản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ghi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sổ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bày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cáo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mở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rộng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linh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cường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soát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bộ</w:t>
      </w:r>
      <w:proofErr w:type="spellEnd"/>
    </w:p>
    <w:p w14:paraId="0A07CB0E" w14:textId="77777777" w:rsidR="002B4871" w:rsidRPr="002B4871" w:rsidRDefault="002B4871" w:rsidP="00F003C3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1.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Những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điểm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khác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biệt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then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chốt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giữa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Thông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tư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99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và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Thông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tư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200</w:t>
      </w:r>
    </w:p>
    <w:p w14:paraId="680591EE" w14:textId="77777777" w:rsidR="002B4871" w:rsidRPr="002B4871" w:rsidRDefault="002B4871" w:rsidP="00F003C3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1.1 Phạm vi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và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hiệu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lực</w:t>
      </w:r>
      <w:proofErr w:type="spellEnd"/>
    </w:p>
    <w:p w14:paraId="3A7B1F20" w14:textId="77777777" w:rsidR="002B4871" w:rsidRPr="002B4871" w:rsidRDefault="002B4871" w:rsidP="00F003C3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B4871">
        <w:rPr>
          <w:rFonts w:ascii="Times New Roman" w:hAnsi="Times New Roman" w:cs="Times New Roman"/>
          <w:sz w:val="26"/>
          <w:szCs w:val="26"/>
        </w:rPr>
        <w:t xml:space="preserve">Thông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200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bắt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2015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phục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khung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; Thông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99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thay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khung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bắt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01/01/2026. </w:t>
      </w:r>
    </w:p>
    <w:p w14:paraId="29C2D5D5" w14:textId="0EA3BC4A" w:rsidR="002B4871" w:rsidRPr="002B4871" w:rsidRDefault="002B4871" w:rsidP="00F003C3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1.2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Hệ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thống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tài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khoản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kế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toán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—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linh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hoạt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hơn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hiện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đại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hơn</w:t>
      </w:r>
      <w:proofErr w:type="spellEnd"/>
    </w:p>
    <w:p w14:paraId="6436FC99" w14:textId="77777777" w:rsidR="002B4871" w:rsidRPr="002B4871" w:rsidRDefault="002B4871" w:rsidP="00F003C3">
      <w:pPr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Thông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tư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99</w:t>
      </w:r>
      <w:r w:rsidRPr="002B4871">
        <w:rPr>
          <w:rFonts w:ascii="Times New Roman" w:hAnsi="Times New Roman" w:cs="Times New Roman"/>
          <w:sz w:val="26"/>
          <w:szCs w:val="26"/>
        </w:rPr>
        <w:t xml:space="preserve"> ban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khoản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kèm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dẫn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phép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chi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tiết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hóa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điều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chỉnh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tên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và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cấu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trúc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tài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khoản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thù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miễn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đảm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tắc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bày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cáo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. So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Thông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200,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bước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tới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tự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chủ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cao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hơn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phục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6CEFDB2" w14:textId="46C08EE7" w:rsidR="002B4871" w:rsidRPr="002B4871" w:rsidRDefault="002B4871" w:rsidP="00F003C3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1.3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Đơn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vị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tiền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tệ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kế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toán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—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hỗ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trợ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doanh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nghiệp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giao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dịch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quốc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tế</w:t>
      </w:r>
      <w:proofErr w:type="spellEnd"/>
    </w:p>
    <w:p w14:paraId="497644B0" w14:textId="77777777" w:rsidR="002B4871" w:rsidRPr="002B4871" w:rsidRDefault="002B4871" w:rsidP="00F003C3">
      <w:pPr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B4871">
        <w:rPr>
          <w:rFonts w:ascii="Times New Roman" w:hAnsi="Times New Roman" w:cs="Times New Roman"/>
          <w:sz w:val="26"/>
          <w:szCs w:val="26"/>
        </w:rPr>
        <w:t xml:space="preserve">Thông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99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rõ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lựa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chọn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ngoại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tệ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làm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đơn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vị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tiền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tệ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kế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toán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yếu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ngoại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tệ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đáp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kiện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biệt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nhập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khẩu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, FDI,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chuỗi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cung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quốc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. (So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sánh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: Thông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200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ít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nhấn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mạnh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linh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). </w:t>
      </w:r>
    </w:p>
    <w:p w14:paraId="62180042" w14:textId="1F097911" w:rsidR="002B4871" w:rsidRPr="002B4871" w:rsidRDefault="002B4871" w:rsidP="00F003C3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1.4 Chứng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từ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phân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cấp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ký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và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kiểm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soát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nội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bộ</w:t>
      </w:r>
      <w:proofErr w:type="spellEnd"/>
    </w:p>
    <w:p w14:paraId="32AD1E4D" w14:textId="77777777" w:rsidR="002B4871" w:rsidRPr="002B4871" w:rsidRDefault="002B4871" w:rsidP="00F003C3">
      <w:pPr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B4871">
        <w:rPr>
          <w:rFonts w:ascii="Times New Roman" w:hAnsi="Times New Roman" w:cs="Times New Roman"/>
          <w:sz w:val="26"/>
          <w:szCs w:val="26"/>
        </w:rPr>
        <w:t xml:space="preserve">Thông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99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nhấn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mạnh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phân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cấp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ký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chứng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từ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trách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nhiệm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người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lập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>/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duyệt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phù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nghĩa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kỹ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thuật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hạch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nối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chặt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chẽ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soát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rủi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ro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lận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bước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tiến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so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cận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ở Thông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200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vốn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tắc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ghi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sổ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cáo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2A7A652" w14:textId="63A7AD38" w:rsidR="002B4871" w:rsidRPr="002B4871" w:rsidRDefault="002B4871" w:rsidP="00F003C3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1.5 Báo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cáo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tài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chính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—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minh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bạch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và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mở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rộng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giải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trình</w:t>
      </w:r>
      <w:proofErr w:type="spellEnd"/>
    </w:p>
    <w:p w14:paraId="6F01F4B3" w14:textId="17619A37" w:rsidR="002B4871" w:rsidRPr="002B4871" w:rsidRDefault="002B4871" w:rsidP="00F003C3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2B4871">
        <w:rPr>
          <w:rFonts w:ascii="Times New Roman" w:hAnsi="Times New Roman" w:cs="Times New Roman"/>
          <w:sz w:val="26"/>
          <w:szCs w:val="26"/>
        </w:rPr>
        <w:t xml:space="preserve">Thông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99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phép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bổ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sung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chỉ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tiêu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báo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cáo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quản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trị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phù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thù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nhưng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đảm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tắc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bày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mở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rộng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khả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cung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tin phục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ngân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thay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mẫu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cáo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“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”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915628D" w14:textId="77777777" w:rsidR="002B4871" w:rsidRPr="002B4871" w:rsidRDefault="002B4871" w:rsidP="00F003C3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B4871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2.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Mối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liên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hệ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với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các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văn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bản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kế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toán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khác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gần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đây</w:t>
      </w:r>
      <w:proofErr w:type="spellEnd"/>
    </w:p>
    <w:p w14:paraId="047287E1" w14:textId="77777777" w:rsidR="002B4871" w:rsidRPr="002B4871" w:rsidRDefault="002B4871" w:rsidP="00F003C3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2.1 Thông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tư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202/2014 — Báo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cáo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tài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chính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hợp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nhất</w:t>
      </w:r>
      <w:proofErr w:type="spellEnd"/>
    </w:p>
    <w:p w14:paraId="0010B3A1" w14:textId="77777777" w:rsidR="002B4871" w:rsidRPr="002B4871" w:rsidRDefault="002B4871" w:rsidP="00F003C3">
      <w:pPr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B4871">
        <w:rPr>
          <w:rFonts w:ascii="Times New Roman" w:hAnsi="Times New Roman" w:cs="Times New Roman"/>
          <w:sz w:val="26"/>
          <w:szCs w:val="26"/>
        </w:rPr>
        <w:t xml:space="preserve">Các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cáo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(Thông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202/2014)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vẫn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tục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ty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mẹ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ty con; Thông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99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thay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khung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nhưng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phủ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thù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>—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khai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25F99AF" w14:textId="076D1D7B" w:rsidR="002B4871" w:rsidRPr="002B4871" w:rsidRDefault="002B4871" w:rsidP="00F003C3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2.2 Thông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tư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24/2024 (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Chế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độ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kế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toán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hành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chính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sự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nghiệp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)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và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Thông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tư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88/2021 (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hộ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kinh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doanh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>)</w:t>
      </w:r>
    </w:p>
    <w:p w14:paraId="77455FD0" w14:textId="1B10DA18" w:rsidR="002B4871" w:rsidRPr="002B4871" w:rsidRDefault="002B4871" w:rsidP="00F003C3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2B4871">
        <w:rPr>
          <w:rFonts w:ascii="Times New Roman" w:hAnsi="Times New Roman" w:cs="Times New Roman"/>
          <w:sz w:val="26"/>
          <w:szCs w:val="26"/>
        </w:rPr>
        <w:t xml:space="preserve">Trong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vòng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2–3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gần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Tài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cập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nhật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tượng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: TT-24/2024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chính-sự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2025), TT-88/2021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hộ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2022).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cập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nhật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thấy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xu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chuyên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biệt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hóa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chế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độ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kế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toán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theo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loại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hình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mẫu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chứng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sổ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sách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phép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vận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. Khi Thông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99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chú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tới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tương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thích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ngành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B79B549" w14:textId="77777777" w:rsidR="002B4871" w:rsidRPr="002B4871" w:rsidRDefault="002B4871" w:rsidP="00F003C3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3. Ý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nghĩa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thực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tiễn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và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hệ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quả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cho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doanh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nghiệp</w:t>
      </w:r>
      <w:proofErr w:type="spellEnd"/>
    </w:p>
    <w:p w14:paraId="472C7BC6" w14:textId="77777777" w:rsidR="002B4871" w:rsidRPr="002B4871" w:rsidRDefault="002B4871" w:rsidP="00F003C3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Cơ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hội</w:t>
      </w:r>
      <w:proofErr w:type="spellEnd"/>
    </w:p>
    <w:p w14:paraId="109534FF" w14:textId="77777777" w:rsidR="002B4871" w:rsidRPr="002B4871" w:rsidRDefault="002B4871" w:rsidP="00F003C3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Tối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ưu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quản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trị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: Doanh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khoản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cáo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sát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mô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kênh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phận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án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>…).</w:t>
      </w:r>
    </w:p>
    <w:p w14:paraId="471EDADA" w14:textId="77777777" w:rsidR="002B4871" w:rsidRPr="002B4871" w:rsidRDefault="002B4871" w:rsidP="00F003C3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Minh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bạch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hơn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Bổ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sung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cấu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trúc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chứng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rõ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niềm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ngân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>.</w:t>
      </w:r>
    </w:p>
    <w:p w14:paraId="05BEAA3A" w14:textId="77777777" w:rsidR="002B4871" w:rsidRPr="002B4871" w:rsidRDefault="002B4871" w:rsidP="00F003C3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Hợp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tác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quốc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tế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dễ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dàng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hơn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: Quy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tệ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thuận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lợi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ngoại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tệ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lớn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>.</w:t>
      </w:r>
    </w:p>
    <w:p w14:paraId="7E951C0D" w14:textId="77777777" w:rsidR="002B4871" w:rsidRPr="002B4871" w:rsidRDefault="002B4871" w:rsidP="00F003C3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Thách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thức</w:t>
      </w:r>
      <w:proofErr w:type="spellEnd"/>
    </w:p>
    <w:p w14:paraId="39622CA3" w14:textId="77777777" w:rsidR="002B4871" w:rsidRPr="002B4871" w:rsidRDefault="002B4871" w:rsidP="00F003C3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Chi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phí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chuyển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đổi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cập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nhật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mềm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dữ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đào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>.</w:t>
      </w:r>
    </w:p>
    <w:p w14:paraId="06574442" w14:textId="77777777" w:rsidR="002B4871" w:rsidRPr="002B4871" w:rsidRDefault="002B4871" w:rsidP="00F003C3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Rủi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ro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triển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khai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kém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“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”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sửa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soát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dễ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sai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sót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lận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>.</w:t>
      </w:r>
    </w:p>
    <w:p w14:paraId="5CE23FB0" w14:textId="77777777" w:rsidR="002B4871" w:rsidRPr="002B4871" w:rsidRDefault="002B4871" w:rsidP="00F003C3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Yêu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cầu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đồng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bộ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đoàn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cáo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đảm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tương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thích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khoản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Thông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99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Thông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202.</w:t>
      </w:r>
    </w:p>
    <w:p w14:paraId="43937E1E" w14:textId="77777777" w:rsidR="002B4871" w:rsidRPr="002B4871" w:rsidRDefault="002B4871" w:rsidP="00F003C3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4.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Kiến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nghị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dành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cho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doanh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nghiệp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(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gồm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doanh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nghiệp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vừa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&amp;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nhỏ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và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chủ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doanh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nghiệp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hộ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kinh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doanh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>)</w:t>
      </w:r>
    </w:p>
    <w:p w14:paraId="0C5A2509" w14:textId="67B3D05E" w:rsidR="002B4871" w:rsidRPr="002B4871" w:rsidRDefault="002B4871" w:rsidP="00F003C3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Lập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dự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án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chuyển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đổi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2B4871">
        <w:rPr>
          <w:rFonts w:ascii="Times New Roman" w:hAnsi="Times New Roman" w:cs="Times New Roman"/>
          <w:sz w:val="26"/>
          <w:szCs w:val="26"/>
        </w:rPr>
        <w:t xml:space="preserve">(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đến</w:t>
      </w:r>
      <w:proofErr w:type="spellEnd"/>
      <w:proofErr w:type="gramEnd"/>
      <w:r w:rsidRPr="002B4871">
        <w:rPr>
          <w:rFonts w:ascii="Times New Roman" w:hAnsi="Times New Roman" w:cs="Times New Roman"/>
          <w:sz w:val="26"/>
          <w:szCs w:val="26"/>
        </w:rPr>
        <w:t xml:space="preserve"> 01/01/2026):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rà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soát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đào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thử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nghiệm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>.</w:t>
      </w:r>
    </w:p>
    <w:p w14:paraId="794B7F77" w14:textId="77777777" w:rsidR="002B4871" w:rsidRPr="002B4871" w:rsidRDefault="002B4871" w:rsidP="00F003C3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Thiết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kế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hệ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thống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tài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khoản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theo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quản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trị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mở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khoản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dõi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kênh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bán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án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>.</w:t>
      </w:r>
    </w:p>
    <w:p w14:paraId="6065F715" w14:textId="77777777" w:rsidR="002B4871" w:rsidRPr="002B4871" w:rsidRDefault="002B4871" w:rsidP="00F003C3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lastRenderedPageBreak/>
        <w:t>Củng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cố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quy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chế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kiểm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soát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nội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bộ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ký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lưu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chứng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phê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duyệt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>.</w:t>
      </w:r>
    </w:p>
    <w:p w14:paraId="42C4CE66" w14:textId="77777777" w:rsidR="002B4871" w:rsidRPr="002B4871" w:rsidRDefault="002B4871" w:rsidP="00F003C3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Đồng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bộ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phần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mềm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kế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toán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cáo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>).</w:t>
      </w:r>
    </w:p>
    <w:p w14:paraId="132EFCDE" w14:textId="77777777" w:rsidR="002B4871" w:rsidRPr="002B4871" w:rsidRDefault="002B4871" w:rsidP="00F003C3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Tham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vấn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chuyên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gia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>/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đơn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vị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tư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vấn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ngoại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tệ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phức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tạp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mô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ty con.</w:t>
      </w:r>
    </w:p>
    <w:p w14:paraId="13E5F5E2" w14:textId="3FE1FC9E" w:rsidR="002B4871" w:rsidRPr="002B4871" w:rsidRDefault="002B4871" w:rsidP="00F003C3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5.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Kết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luận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78169AD1" w14:textId="77777777" w:rsidR="002B4871" w:rsidRDefault="002B4871" w:rsidP="00F003C3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proofErr w:type="spellStart"/>
      <w:r w:rsidRPr="002B4871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ban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Thông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tư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99/2025/TT-BTC</w:t>
      </w:r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bước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nâng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nhằm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hoá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Việt Nam: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tăng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tính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linh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hoạt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kết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nối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chặt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hơn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giữa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kế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toán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và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quản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trị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nội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bộ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và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hỗ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trợ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doanh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nghiệp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hoạt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động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trong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môi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trường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xuyên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biên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giới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. Tuy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nhiên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lợi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ích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tới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chủ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động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chuyển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đổi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có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kế</w:t>
      </w:r>
      <w:proofErr w:type="spellEnd"/>
      <w:r w:rsidRPr="002B4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b/>
          <w:bCs/>
          <w:sz w:val="26"/>
          <w:szCs w:val="26"/>
        </w:rPr>
        <w:t>hoạch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“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bắt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chước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mẫu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”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gắn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thay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cải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tiến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soát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cáo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hoạch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nguồn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phù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, Thông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trở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gánh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nặng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thay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lợi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871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2B4871">
        <w:rPr>
          <w:rFonts w:ascii="Times New Roman" w:hAnsi="Times New Roman" w:cs="Times New Roman"/>
          <w:sz w:val="26"/>
          <w:szCs w:val="26"/>
        </w:rPr>
        <w:t>.</w:t>
      </w:r>
    </w:p>
    <w:p w14:paraId="6FD0517D" w14:textId="6C463070" w:rsidR="00F003C3" w:rsidRPr="00F003C3" w:rsidRDefault="00F003C3" w:rsidP="00F003C3">
      <w:pPr>
        <w:jc w:val="center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TÀI LIỆU THAM KHẢO</w:t>
      </w:r>
    </w:p>
    <w:p w14:paraId="106D2A12" w14:textId="77777777" w:rsidR="00F003C3" w:rsidRPr="00F003C3" w:rsidRDefault="00F003C3" w:rsidP="00F003C3">
      <w:pPr>
        <w:pStyle w:val="ListParagraph"/>
        <w:numPr>
          <w:ilvl w:val="1"/>
          <w:numId w:val="9"/>
        </w:num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F003C3">
        <w:rPr>
          <w:rFonts w:ascii="Times New Roman" w:hAnsi="Times New Roman" w:cs="Times New Roman"/>
          <w:sz w:val="26"/>
          <w:szCs w:val="26"/>
          <w:lang w:val="vi-VN"/>
        </w:rPr>
        <w:t>T</w:t>
      </w:r>
      <w:proofErr w:type="spellStart"/>
      <w:r w:rsidRPr="00F003C3">
        <w:rPr>
          <w:rFonts w:ascii="Times New Roman" w:hAnsi="Times New Roman" w:cs="Times New Roman"/>
          <w:sz w:val="26"/>
          <w:szCs w:val="26"/>
        </w:rPr>
        <w:t>hông</w:t>
      </w:r>
      <w:proofErr w:type="spellEnd"/>
      <w:r w:rsidRPr="00F003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03C3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F003C3">
        <w:rPr>
          <w:rFonts w:ascii="Times New Roman" w:hAnsi="Times New Roman" w:cs="Times New Roman"/>
          <w:sz w:val="26"/>
          <w:szCs w:val="26"/>
        </w:rPr>
        <w:t xml:space="preserve"> 99/2025/TT</w:t>
      </w:r>
      <w:r w:rsidRPr="00F003C3">
        <w:rPr>
          <w:rFonts w:ascii="Times New Roman" w:hAnsi="Times New Roman" w:cs="Times New Roman"/>
          <w:sz w:val="26"/>
          <w:szCs w:val="26"/>
        </w:rPr>
        <w:noBreakHyphen/>
        <w:t xml:space="preserve">BTC </w:t>
      </w:r>
      <w:proofErr w:type="spellStart"/>
      <w:r w:rsidRPr="00F003C3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F003C3">
        <w:rPr>
          <w:rFonts w:ascii="Times New Roman" w:hAnsi="Times New Roman" w:cs="Times New Roman"/>
          <w:sz w:val="26"/>
          <w:szCs w:val="26"/>
        </w:rPr>
        <w:t xml:space="preserve"> 27/10/2025 </w:t>
      </w:r>
      <w:proofErr w:type="spellStart"/>
      <w:r w:rsidRPr="00F003C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003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03C3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F003C3">
        <w:rPr>
          <w:rFonts w:ascii="Times New Roman" w:hAnsi="Times New Roman" w:cs="Times New Roman"/>
          <w:sz w:val="26"/>
          <w:szCs w:val="26"/>
        </w:rPr>
        <w:t xml:space="preserve"> Tài </w:t>
      </w:r>
      <w:proofErr w:type="spellStart"/>
      <w:r w:rsidRPr="00F003C3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F003C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003C3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Pr="00F003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03C3">
        <w:rPr>
          <w:rFonts w:ascii="Times New Roman" w:hAnsi="Times New Roman" w:cs="Times New Roman"/>
          <w:sz w:val="26"/>
          <w:szCs w:val="26"/>
        </w:rPr>
        <w:t>dẫn</w:t>
      </w:r>
      <w:proofErr w:type="spellEnd"/>
      <w:r w:rsidRPr="00F003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03C3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Pr="00F003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03C3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F003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03C3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F003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03C3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F003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03C3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F003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03C3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F003C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003C3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F003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03C3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F003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03C3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F003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03C3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F003C3">
        <w:rPr>
          <w:rFonts w:ascii="Times New Roman" w:hAnsi="Times New Roman" w:cs="Times New Roman"/>
          <w:sz w:val="26"/>
          <w:szCs w:val="26"/>
        </w:rPr>
        <w:t xml:space="preserve"> 01/01/2026. </w:t>
      </w:r>
    </w:p>
    <w:p w14:paraId="2DA13AB4" w14:textId="3B841675" w:rsidR="00F003C3" w:rsidRPr="00F003C3" w:rsidRDefault="00F003C3" w:rsidP="00F003C3">
      <w:pPr>
        <w:pStyle w:val="ListParagraph"/>
        <w:numPr>
          <w:ilvl w:val="1"/>
          <w:numId w:val="9"/>
        </w:num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F003C3">
        <w:rPr>
          <w:rFonts w:ascii="Times New Roman" w:hAnsi="Times New Roman" w:cs="Times New Roman"/>
          <w:sz w:val="26"/>
          <w:szCs w:val="26"/>
        </w:rPr>
        <w:t xml:space="preserve">Thông </w:t>
      </w:r>
      <w:proofErr w:type="spellStart"/>
      <w:r w:rsidRPr="00F003C3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F003C3">
        <w:rPr>
          <w:rFonts w:ascii="Times New Roman" w:hAnsi="Times New Roman" w:cs="Times New Roman"/>
          <w:sz w:val="26"/>
          <w:szCs w:val="26"/>
        </w:rPr>
        <w:t xml:space="preserve"> 200/2014/TT</w:t>
      </w:r>
      <w:r w:rsidRPr="00F003C3">
        <w:rPr>
          <w:rFonts w:ascii="Times New Roman" w:hAnsi="Times New Roman" w:cs="Times New Roman"/>
          <w:sz w:val="26"/>
          <w:szCs w:val="26"/>
        </w:rPr>
        <w:noBreakHyphen/>
        <w:t xml:space="preserve">BTC </w:t>
      </w:r>
      <w:proofErr w:type="spellStart"/>
      <w:r w:rsidRPr="00F003C3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F003C3">
        <w:rPr>
          <w:rFonts w:ascii="Times New Roman" w:hAnsi="Times New Roman" w:cs="Times New Roman"/>
          <w:sz w:val="26"/>
          <w:szCs w:val="26"/>
        </w:rPr>
        <w:t xml:space="preserve"> 22/12/2014 </w:t>
      </w:r>
      <w:proofErr w:type="spellStart"/>
      <w:r w:rsidRPr="00F003C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003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03C3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F003C3">
        <w:rPr>
          <w:rFonts w:ascii="Times New Roman" w:hAnsi="Times New Roman" w:cs="Times New Roman"/>
          <w:sz w:val="26"/>
          <w:szCs w:val="26"/>
        </w:rPr>
        <w:t xml:space="preserve"> Tài </w:t>
      </w:r>
      <w:proofErr w:type="spellStart"/>
      <w:r w:rsidRPr="00F003C3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F003C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003C3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Pr="00F003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03C3">
        <w:rPr>
          <w:rFonts w:ascii="Times New Roman" w:hAnsi="Times New Roman" w:cs="Times New Roman"/>
          <w:sz w:val="26"/>
          <w:szCs w:val="26"/>
        </w:rPr>
        <w:t>dẫn</w:t>
      </w:r>
      <w:proofErr w:type="spellEnd"/>
      <w:r w:rsidRPr="00F003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03C3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Pr="00F003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03C3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F003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03C3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F003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03C3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F003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03C3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F003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03C3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F003C3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F003C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003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03C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003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03C3">
        <w:rPr>
          <w:rFonts w:ascii="Times New Roman" w:hAnsi="Times New Roman" w:cs="Times New Roman"/>
          <w:sz w:val="26"/>
          <w:szCs w:val="26"/>
        </w:rPr>
        <w:t>sửa</w:t>
      </w:r>
      <w:proofErr w:type="spellEnd"/>
      <w:r w:rsidRPr="00F003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03C3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F003C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003C3">
        <w:rPr>
          <w:rFonts w:ascii="Times New Roman" w:hAnsi="Times New Roman" w:cs="Times New Roman"/>
          <w:sz w:val="26"/>
          <w:szCs w:val="26"/>
        </w:rPr>
        <w:t>bổ</w:t>
      </w:r>
      <w:proofErr w:type="spellEnd"/>
      <w:r w:rsidRPr="00F003C3">
        <w:rPr>
          <w:rFonts w:ascii="Times New Roman" w:hAnsi="Times New Roman" w:cs="Times New Roman"/>
          <w:sz w:val="26"/>
          <w:szCs w:val="26"/>
        </w:rPr>
        <w:t xml:space="preserve"> sung: Thông </w:t>
      </w:r>
      <w:proofErr w:type="spellStart"/>
      <w:r w:rsidRPr="00F003C3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F003C3">
        <w:rPr>
          <w:rFonts w:ascii="Times New Roman" w:hAnsi="Times New Roman" w:cs="Times New Roman"/>
          <w:sz w:val="26"/>
          <w:szCs w:val="26"/>
        </w:rPr>
        <w:t xml:space="preserve"> 75/2015/TT</w:t>
      </w:r>
      <w:r w:rsidRPr="00F003C3">
        <w:rPr>
          <w:rFonts w:ascii="Times New Roman" w:hAnsi="Times New Roman" w:cs="Times New Roman"/>
          <w:sz w:val="26"/>
          <w:szCs w:val="26"/>
        </w:rPr>
        <w:noBreakHyphen/>
        <w:t xml:space="preserve">BTC; Thông </w:t>
      </w:r>
      <w:proofErr w:type="spellStart"/>
      <w:r w:rsidRPr="00F003C3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F003C3">
        <w:rPr>
          <w:rFonts w:ascii="Times New Roman" w:hAnsi="Times New Roman" w:cs="Times New Roman"/>
          <w:sz w:val="26"/>
          <w:szCs w:val="26"/>
        </w:rPr>
        <w:t xml:space="preserve"> 53/2016/TT</w:t>
      </w:r>
      <w:r w:rsidRPr="00F003C3">
        <w:rPr>
          <w:rFonts w:ascii="Times New Roman" w:hAnsi="Times New Roman" w:cs="Times New Roman"/>
          <w:sz w:val="26"/>
          <w:szCs w:val="26"/>
        </w:rPr>
        <w:noBreakHyphen/>
        <w:t xml:space="preserve">BTC) – </w:t>
      </w:r>
      <w:proofErr w:type="spellStart"/>
      <w:r w:rsidRPr="00F003C3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F003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03C3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F003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03C3">
        <w:rPr>
          <w:rFonts w:ascii="Times New Roman" w:hAnsi="Times New Roman" w:cs="Times New Roman"/>
          <w:sz w:val="26"/>
          <w:szCs w:val="26"/>
        </w:rPr>
        <w:t>thay</w:t>
      </w:r>
      <w:proofErr w:type="spellEnd"/>
      <w:r w:rsidRPr="00F003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03C3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F003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03C3">
        <w:rPr>
          <w:rFonts w:ascii="Times New Roman" w:hAnsi="Times New Roman" w:cs="Times New Roman"/>
          <w:sz w:val="26"/>
          <w:szCs w:val="26"/>
        </w:rPr>
        <w:t>bởi</w:t>
      </w:r>
      <w:proofErr w:type="spellEnd"/>
      <w:r w:rsidRPr="00F003C3">
        <w:rPr>
          <w:rFonts w:ascii="Times New Roman" w:hAnsi="Times New Roman" w:cs="Times New Roman"/>
          <w:sz w:val="26"/>
          <w:szCs w:val="26"/>
        </w:rPr>
        <w:t xml:space="preserve"> TT 99 </w:t>
      </w:r>
      <w:proofErr w:type="spellStart"/>
      <w:r w:rsidRPr="00F003C3">
        <w:rPr>
          <w:rFonts w:ascii="Times New Roman" w:hAnsi="Times New Roman" w:cs="Times New Roman"/>
          <w:sz w:val="26"/>
          <w:szCs w:val="26"/>
        </w:rPr>
        <w:t>trừ</w:t>
      </w:r>
      <w:proofErr w:type="spellEnd"/>
      <w:r w:rsidRPr="00F003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03C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003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03C3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F003C3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Pr="00F003C3">
        <w:rPr>
          <w:rFonts w:ascii="Times New Roman" w:hAnsi="Times New Roman" w:cs="Times New Roman"/>
          <w:sz w:val="26"/>
          <w:szCs w:val="26"/>
        </w:rPr>
        <w:t>cổ</w:t>
      </w:r>
      <w:proofErr w:type="spellEnd"/>
      <w:r w:rsidRPr="00F003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03C3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F003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03C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F003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03C3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F003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03C3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F003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03C3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F003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03C3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1D55C5C3" w14:textId="28B7AF20" w:rsidR="00F003C3" w:rsidRPr="00F003C3" w:rsidRDefault="00F003C3" w:rsidP="00F003C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3.</w:t>
      </w:r>
      <w:r w:rsidRPr="00F003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03C3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F003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03C3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F003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03C3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F003C3">
        <w:rPr>
          <w:rFonts w:ascii="Times New Roman" w:hAnsi="Times New Roman" w:cs="Times New Roman"/>
          <w:sz w:val="26"/>
          <w:szCs w:val="26"/>
        </w:rPr>
        <w:t xml:space="preserve"> 2015 (</w:t>
      </w:r>
      <w:proofErr w:type="spellStart"/>
      <w:r w:rsidRPr="00F003C3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F003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03C3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F003C3">
        <w:rPr>
          <w:rFonts w:ascii="Times New Roman" w:hAnsi="Times New Roman" w:cs="Times New Roman"/>
          <w:sz w:val="26"/>
          <w:szCs w:val="26"/>
        </w:rPr>
        <w:t xml:space="preserve"> 88/2015/QH13) </w:t>
      </w:r>
      <w:proofErr w:type="spellStart"/>
      <w:r w:rsidRPr="00F003C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003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03C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003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03C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F003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03C3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F003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03C3">
        <w:rPr>
          <w:rFonts w:ascii="Times New Roman" w:hAnsi="Times New Roman" w:cs="Times New Roman"/>
          <w:sz w:val="26"/>
          <w:szCs w:val="26"/>
        </w:rPr>
        <w:t>sửa</w:t>
      </w:r>
      <w:proofErr w:type="spellEnd"/>
      <w:r w:rsidRPr="00F003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03C3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F003C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003C3">
        <w:rPr>
          <w:rFonts w:ascii="Times New Roman" w:hAnsi="Times New Roman" w:cs="Times New Roman"/>
          <w:sz w:val="26"/>
          <w:szCs w:val="26"/>
        </w:rPr>
        <w:t>bổ</w:t>
      </w:r>
      <w:proofErr w:type="spellEnd"/>
      <w:r w:rsidRPr="00F003C3">
        <w:rPr>
          <w:rFonts w:ascii="Times New Roman" w:hAnsi="Times New Roman" w:cs="Times New Roman"/>
          <w:sz w:val="26"/>
          <w:szCs w:val="26"/>
        </w:rPr>
        <w:t xml:space="preserve"> sung – </w:t>
      </w:r>
      <w:proofErr w:type="spellStart"/>
      <w:r w:rsidRPr="00F003C3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F003C3">
        <w:rPr>
          <w:rFonts w:ascii="Times New Roman" w:hAnsi="Times New Roman" w:cs="Times New Roman"/>
          <w:sz w:val="26"/>
          <w:szCs w:val="26"/>
        </w:rPr>
        <w:t xml:space="preserve"> TT 99 </w:t>
      </w:r>
      <w:proofErr w:type="spellStart"/>
      <w:r w:rsidRPr="00F003C3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F003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03C3">
        <w:rPr>
          <w:rFonts w:ascii="Times New Roman" w:hAnsi="Times New Roman" w:cs="Times New Roman"/>
          <w:sz w:val="26"/>
          <w:szCs w:val="26"/>
        </w:rPr>
        <w:t>xây</w:t>
      </w:r>
      <w:proofErr w:type="spellEnd"/>
      <w:r w:rsidRPr="00F003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03C3">
        <w:rPr>
          <w:rFonts w:ascii="Times New Roman" w:hAnsi="Times New Roman" w:cs="Times New Roman"/>
          <w:sz w:val="26"/>
          <w:szCs w:val="26"/>
        </w:rPr>
        <w:t>dựng</w:t>
      </w:r>
      <w:proofErr w:type="spellEnd"/>
      <w:r w:rsidRPr="00F003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03C3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F003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03C3">
        <w:rPr>
          <w:rFonts w:ascii="Times New Roman" w:hAnsi="Times New Roman" w:cs="Times New Roman"/>
          <w:sz w:val="26"/>
          <w:szCs w:val="26"/>
        </w:rPr>
        <w:t>nền</w:t>
      </w:r>
      <w:proofErr w:type="spellEnd"/>
      <w:r w:rsidRPr="00F003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03C3">
        <w:rPr>
          <w:rFonts w:ascii="Times New Roman" w:hAnsi="Times New Roman" w:cs="Times New Roman"/>
          <w:sz w:val="26"/>
          <w:szCs w:val="26"/>
        </w:rPr>
        <w:t>tảng</w:t>
      </w:r>
      <w:proofErr w:type="spellEnd"/>
      <w:r w:rsidRPr="00F003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03C3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F003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03C3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F003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03C3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F003C3">
        <w:rPr>
          <w:rFonts w:ascii="Times New Roman" w:hAnsi="Times New Roman" w:cs="Times New Roman"/>
          <w:sz w:val="26"/>
          <w:szCs w:val="26"/>
        </w:rPr>
        <w:t>.</w:t>
      </w:r>
    </w:p>
    <w:p w14:paraId="3A7F1B8A" w14:textId="77777777" w:rsidR="00135046" w:rsidRPr="002B4871" w:rsidRDefault="00135046" w:rsidP="00F003C3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135046" w:rsidRPr="002B4871" w:rsidSect="00F003C3">
      <w:footerReference w:type="default" r:id="rId7"/>
      <w:pgSz w:w="11909" w:h="16834" w:code="9"/>
      <w:pgMar w:top="720" w:right="720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A698D" w14:textId="77777777" w:rsidR="00A73118" w:rsidRDefault="00A73118" w:rsidP="002B4871">
      <w:pPr>
        <w:spacing w:after="0" w:line="240" w:lineRule="auto"/>
      </w:pPr>
      <w:r>
        <w:separator/>
      </w:r>
    </w:p>
  </w:endnote>
  <w:endnote w:type="continuationSeparator" w:id="0">
    <w:p w14:paraId="20356CDE" w14:textId="77777777" w:rsidR="00A73118" w:rsidRDefault="00A73118" w:rsidP="002B4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BEB3" w14:textId="77777777" w:rsidR="002B4871" w:rsidRDefault="002B4871">
    <w:pPr>
      <w:pStyle w:val="Footer"/>
      <w:tabs>
        <w:tab w:val="clear" w:pos="4680"/>
        <w:tab w:val="clear" w:pos="9360"/>
      </w:tabs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>
      <w:rPr>
        <w:caps/>
        <w:noProof/>
        <w:color w:val="4F81BD" w:themeColor="accent1"/>
      </w:rPr>
      <w:t>2</w:t>
    </w:r>
    <w:r>
      <w:rPr>
        <w:caps/>
        <w:noProof/>
        <w:color w:val="4F81BD" w:themeColor="accent1"/>
      </w:rPr>
      <w:fldChar w:fldCharType="end"/>
    </w:r>
  </w:p>
  <w:p w14:paraId="41255395" w14:textId="77777777" w:rsidR="002B4871" w:rsidRDefault="002B48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A0D91" w14:textId="77777777" w:rsidR="00A73118" w:rsidRDefault="00A73118" w:rsidP="002B4871">
      <w:pPr>
        <w:spacing w:after="0" w:line="240" w:lineRule="auto"/>
      </w:pPr>
      <w:r>
        <w:separator/>
      </w:r>
    </w:p>
  </w:footnote>
  <w:footnote w:type="continuationSeparator" w:id="0">
    <w:p w14:paraId="677F47D9" w14:textId="77777777" w:rsidR="00A73118" w:rsidRDefault="00A73118" w:rsidP="002B48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D5038"/>
    <w:multiLevelType w:val="multilevel"/>
    <w:tmpl w:val="BC3E3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7D0999"/>
    <w:multiLevelType w:val="multilevel"/>
    <w:tmpl w:val="DF426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3256DE"/>
    <w:multiLevelType w:val="multilevel"/>
    <w:tmpl w:val="91DAE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123F32"/>
    <w:multiLevelType w:val="multilevel"/>
    <w:tmpl w:val="50647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9C4620"/>
    <w:multiLevelType w:val="multilevel"/>
    <w:tmpl w:val="12B05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0E7D88"/>
    <w:multiLevelType w:val="multilevel"/>
    <w:tmpl w:val="3C32A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B91EE5"/>
    <w:multiLevelType w:val="multilevel"/>
    <w:tmpl w:val="F1481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6C7AD9"/>
    <w:multiLevelType w:val="multilevel"/>
    <w:tmpl w:val="3D3A2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C370AD"/>
    <w:multiLevelType w:val="multilevel"/>
    <w:tmpl w:val="E1BA5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B32762"/>
    <w:multiLevelType w:val="multilevel"/>
    <w:tmpl w:val="15D02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3264602">
    <w:abstractNumId w:val="5"/>
  </w:num>
  <w:num w:numId="2" w16cid:durableId="1710447541">
    <w:abstractNumId w:val="6"/>
  </w:num>
  <w:num w:numId="3" w16cid:durableId="450366770">
    <w:abstractNumId w:val="7"/>
  </w:num>
  <w:num w:numId="4" w16cid:durableId="25525454">
    <w:abstractNumId w:val="9"/>
  </w:num>
  <w:num w:numId="5" w16cid:durableId="1831169062">
    <w:abstractNumId w:val="4"/>
  </w:num>
  <w:num w:numId="6" w16cid:durableId="2145274244">
    <w:abstractNumId w:val="3"/>
  </w:num>
  <w:num w:numId="7" w16cid:durableId="1559121887">
    <w:abstractNumId w:val="2"/>
  </w:num>
  <w:num w:numId="8" w16cid:durableId="2093353430">
    <w:abstractNumId w:val="8"/>
  </w:num>
  <w:num w:numId="9" w16cid:durableId="1579246088">
    <w:abstractNumId w:val="0"/>
  </w:num>
  <w:num w:numId="10" w16cid:durableId="1525054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871"/>
    <w:rsid w:val="00135046"/>
    <w:rsid w:val="00186F49"/>
    <w:rsid w:val="002B4871"/>
    <w:rsid w:val="00404949"/>
    <w:rsid w:val="00413E44"/>
    <w:rsid w:val="00497D86"/>
    <w:rsid w:val="004B1AC1"/>
    <w:rsid w:val="00632470"/>
    <w:rsid w:val="00A73118"/>
    <w:rsid w:val="00BC0D3A"/>
    <w:rsid w:val="00DF15C9"/>
    <w:rsid w:val="00F0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2296F"/>
  <w15:chartTrackingRefBased/>
  <w15:docId w15:val="{58DB24E5-CFAF-4E1E-9922-6EF9DD36F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48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48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487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48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487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48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48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48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48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487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487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487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4871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4871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48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48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48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48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48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48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487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48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48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48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48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487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487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4871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4871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B487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487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B4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4871"/>
  </w:style>
  <w:style w:type="paragraph" w:styleId="Footer">
    <w:name w:val="footer"/>
    <w:basedOn w:val="Normal"/>
    <w:link w:val="FooterChar"/>
    <w:uiPriority w:val="99"/>
    <w:unhideWhenUsed/>
    <w:rsid w:val="002B4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4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860</Words>
  <Characters>4905</Characters>
  <Application>Microsoft Office Word</Application>
  <DocSecurity>0</DocSecurity>
  <Lines>40</Lines>
  <Paragraphs>11</Paragraphs>
  <ScaleCrop>false</ScaleCrop>
  <Company/>
  <LinksUpToDate>false</LinksUpToDate>
  <CharactersWithSpaces>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Kieu Trang</dc:creator>
  <cp:keywords/>
  <dc:description/>
  <cp:lastModifiedBy>Kieu Trang</cp:lastModifiedBy>
  <cp:revision>3</cp:revision>
  <dcterms:created xsi:type="dcterms:W3CDTF">2025-11-14T03:27:00Z</dcterms:created>
  <dcterms:modified xsi:type="dcterms:W3CDTF">2025-11-14T03:27:00Z</dcterms:modified>
</cp:coreProperties>
</file>