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0EB8" w14:textId="1C0772B3" w:rsidR="00FE59A1" w:rsidRDefault="00FE59A1" w:rsidP="00F66220"/>
    <w:p w14:paraId="3A69412C" w14:textId="77777777" w:rsidR="00F66220" w:rsidRDefault="00F66220" w:rsidP="00F6622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Luật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Thuế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TNDN 2025 –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Đổi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mới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chính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sách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thuế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4C80196" w14:textId="2DC6B061" w:rsidR="00F66220" w:rsidRPr="00F66220" w:rsidRDefault="00F66220" w:rsidP="00F6622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trong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kỷ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nguyên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số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và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phát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triển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bền</w:t>
      </w:r>
      <w:proofErr w:type="spellEnd"/>
      <w:r w:rsidRPr="00F6622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36"/>
          <w:szCs w:val="36"/>
        </w:rPr>
        <w:t>vững</w:t>
      </w:r>
      <w:proofErr w:type="spellEnd"/>
    </w:p>
    <w:p w14:paraId="3F54EE3B" w14:textId="1A8CEBAA" w:rsidR="00F66220" w:rsidRDefault="00F66220" w:rsidP="00F66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220">
        <w:rPr>
          <w:rFonts w:ascii="Times New Roman" w:hAnsi="Times New Roman" w:cs="Times New Roman"/>
          <w:b/>
          <w:bCs/>
          <w:sz w:val="28"/>
          <w:szCs w:val="28"/>
        </w:rPr>
        <w:t xml:space="preserve">Nguyễn Thị Khánh Vân – Khoa </w:t>
      </w:r>
      <w:proofErr w:type="spellStart"/>
      <w:r w:rsidRPr="00F66220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F66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6220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</w:p>
    <w:p w14:paraId="4B5D903B" w14:textId="77777777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(TNDN)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Quốc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XV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C9A45" w14:textId="018B24EC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(SME),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9CD48B" w14:textId="281362FF" w:rsidR="000442E5" w:rsidRPr="000940AB" w:rsidRDefault="002E0E23" w:rsidP="00044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thay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nổi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bật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sửa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14:paraId="1635AFF3" w14:textId="3CCD57E6" w:rsidR="00E90DC7" w:rsidRPr="000940AB" w:rsidRDefault="00E90DC7" w:rsidP="00F66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C0D044" w14:textId="0EB5C396" w:rsidR="00E90DC7" w:rsidRPr="000940AB" w:rsidRDefault="002E0E23" w:rsidP="00F66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suất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ưu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đãi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nhỏ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0DC7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vừa</w:t>
      </w:r>
      <w:proofErr w:type="spellEnd"/>
    </w:p>
    <w:p w14:paraId="19493195" w14:textId="78C51313" w:rsidR="00F66220" w:rsidRPr="000940AB" w:rsidRDefault="00F66220" w:rsidP="00922A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0DC7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FFD1E9" w14:textId="1AF93D48" w:rsidR="00F66220" w:rsidRPr="000940AB" w:rsidRDefault="00F66220" w:rsidP="00922A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vượt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15%.</w:t>
      </w:r>
      <w:r w:rsidR="00E90DC7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2494A4" w14:textId="40AC7C0B" w:rsidR="00F66220" w:rsidRPr="000940AB" w:rsidRDefault="00F66220" w:rsidP="00922A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vượt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17%.</w:t>
      </w:r>
      <w:r w:rsidR="00E90DC7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83A7F5" w14:textId="77777777" w:rsidR="00E90DC7" w:rsidRPr="000940AB" w:rsidRDefault="00F66220" w:rsidP="00922A9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ty con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0DC7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70582" w14:textId="38CF3FAA" w:rsidR="00F66220" w:rsidRPr="000940AB" w:rsidRDefault="00F66220" w:rsidP="00922A9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SME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chi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CA388D" w14:textId="68B96242" w:rsidR="00E90DC7" w:rsidRPr="000940AB" w:rsidRDefault="002E0E23" w:rsidP="00A57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Mở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rộng</w:t>
      </w:r>
      <w:proofErr w:type="spellEnd"/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tượng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chịu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ngoài</w:t>
      </w:r>
      <w:proofErr w:type="spellEnd"/>
    </w:p>
    <w:p w14:paraId="30FCF4F5" w14:textId="5D8E6A96" w:rsidR="00F66220" w:rsidRPr="000940AB" w:rsidRDefault="00F66220" w:rsidP="00922A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(CSTT)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Nam, bao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4E33DE" w14:textId="0ED709B6" w:rsidR="00F66220" w:rsidRPr="000940AB" w:rsidRDefault="00F66220" w:rsidP="00922A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CSTT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363BC9" w14:textId="77777777" w:rsidR="000442E5" w:rsidRPr="000940AB" w:rsidRDefault="00F66220" w:rsidP="00922A9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Nguyên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8B5D3" w14:textId="4C204CFC" w:rsidR="00F66220" w:rsidRPr="000940AB" w:rsidRDefault="00F66220" w:rsidP="00922A9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866EC" w14:textId="096A2753" w:rsidR="00A575DC" w:rsidRPr="000940AB" w:rsidRDefault="002E0E23" w:rsidP="00A57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</w:t>
      </w:r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chỉnh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miễn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giảm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bù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trừ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lỗ</w:t>
      </w:r>
      <w:proofErr w:type="spellEnd"/>
    </w:p>
    <w:p w14:paraId="3327D10E" w14:textId="6FED2D11" w:rsidR="00F66220" w:rsidRPr="000940AB" w:rsidRDefault="00F66220" w:rsidP="00922A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ở Việt Nam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8BD523" w14:textId="2BABFAC4" w:rsidR="00F66220" w:rsidRPr="000940AB" w:rsidRDefault="00F66220" w:rsidP="00922A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-bon,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3CC746" w14:textId="77777777" w:rsidR="000442E5" w:rsidRPr="000940AB" w:rsidRDefault="00F66220" w:rsidP="00922A9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C6B65" w14:textId="7B919637" w:rsidR="00F66220" w:rsidRPr="000940AB" w:rsidRDefault="00F66220" w:rsidP="00922A92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trúc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720C03" w14:textId="089C9F2F" w:rsidR="00A575DC" w:rsidRPr="000940AB" w:rsidRDefault="002E0E23" w:rsidP="00A575D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suất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đặc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khai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thác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dầu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khí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quý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hiếm</w:t>
      </w:r>
      <w:proofErr w:type="spellEnd"/>
    </w:p>
    <w:p w14:paraId="6E43A607" w14:textId="01B82EC2" w:rsidR="00F66220" w:rsidRPr="000940AB" w:rsidRDefault="00F66220" w:rsidP="00F662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dò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25%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50%,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tùy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9ACE2" w14:textId="77777777" w:rsidR="000442E5" w:rsidRPr="000940AB" w:rsidRDefault="00F66220" w:rsidP="004018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hiếm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thiếc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hiếm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…)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50%,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40%.</w:t>
      </w:r>
    </w:p>
    <w:p w14:paraId="3445550D" w14:textId="7683686A" w:rsidR="00F66220" w:rsidRPr="000940AB" w:rsidRDefault="00F66220" w:rsidP="00044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khúc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1DF9A" w14:textId="657EC8A6" w:rsidR="00A575DC" w:rsidRPr="000940AB" w:rsidRDefault="002E0E23" w:rsidP="00A575D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Quy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ưu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tiên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chỉnh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quyền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proofErr w:type="spellEnd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5DC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</w:p>
    <w:p w14:paraId="46E44005" w14:textId="364C5A3D" w:rsidR="00F66220" w:rsidRPr="000940AB" w:rsidRDefault="00F66220" w:rsidP="006A7B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EAE" w:rsidRPr="000940AB">
        <w:rPr>
          <w:rFonts w:ascii="Times New Roman" w:hAnsi="Times New Roman" w:cs="Times New Roman"/>
          <w:sz w:val="24"/>
          <w:szCs w:val="24"/>
        </w:rPr>
        <w:t xml:space="preserve">ổ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Kinh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for Economic Co-operation and Development -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>OECD</w:t>
      </w:r>
      <w:r w:rsidR="00612EAE" w:rsidRPr="000940A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>/</w:t>
      </w:r>
      <w:r w:rsidR="00612EAE" w:rsidRPr="000940AB">
        <w:rPr>
          <w:rFonts w:ascii="Times New Roman" w:hAnsi="Times New Roman" w:cs="Times New Roman"/>
          <w:sz w:val="24"/>
          <w:szCs w:val="24"/>
        </w:rPr>
        <w:t xml:space="preserve"> Liên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AE" w:rsidRPr="000940AB">
        <w:rPr>
          <w:rFonts w:ascii="Times New Roman" w:hAnsi="Times New Roman" w:cs="Times New Roman"/>
          <w:sz w:val="24"/>
          <w:szCs w:val="24"/>
        </w:rPr>
        <w:t>Quố</w:t>
      </w:r>
      <w:proofErr w:type="spellEnd"/>
      <w:r w:rsidR="00612EAE" w:rsidRPr="000940AB">
        <w:rPr>
          <w:rFonts w:ascii="Times New Roman" w:hAnsi="Times New Roman" w:cs="Times New Roman"/>
          <w:sz w:val="24"/>
          <w:szCs w:val="24"/>
        </w:rPr>
        <w:t xml:space="preserve"> (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>United Nations</w:t>
      </w:r>
      <w:r w:rsidR="00612EAE" w:rsidRPr="000940A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75DC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0916D" w14:textId="6496BB09" w:rsidR="006A7B7F" w:rsidRPr="000940AB" w:rsidRDefault="00F66220" w:rsidP="006A7B7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xói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mòn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12EAE" w:rsidRPr="000940AB">
        <w:rPr>
          <w:rFonts w:ascii="Times New Roman" w:hAnsi="Times New Roman" w:cs="Times New Roman"/>
          <w:sz w:val="24"/>
          <w:szCs w:val="24"/>
        </w:rPr>
        <w:t xml:space="preserve">Base Erosion and Profit Shifting- 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BEPS)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8D3D0" w14:textId="3BAF6B5D" w:rsidR="00F66220" w:rsidRPr="000940AB" w:rsidRDefault="00F66220" w:rsidP="006A7B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92ED0" w14:textId="029EFB17" w:rsidR="000442E5" w:rsidRPr="000940AB" w:rsidRDefault="002E0E23" w:rsidP="0004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Ưu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nổi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bật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sửa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14:paraId="37CC4C11" w14:textId="09D64379" w:rsidR="00F66220" w:rsidRPr="000940AB" w:rsidRDefault="00F66220" w:rsidP="00F6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="000442E5"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E7216A" w14:textId="708AAD73" w:rsidR="000442E5" w:rsidRPr="000940AB" w:rsidRDefault="002E0E23" w:rsidP="00F6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Hỗ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trợ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nhỏ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vừa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tỏa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42E5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proofErr w:type="spellEnd"/>
    </w:p>
    <w:p w14:paraId="0F1C72D6" w14:textId="132CFA62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15%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17%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lastRenderedPageBreak/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E40C4" w14:textId="6E89140C" w:rsidR="002E0E23" w:rsidRPr="000940AB" w:rsidRDefault="002E0E23" w:rsidP="00F6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Thích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thương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điện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tử</w:t>
      </w:r>
      <w:proofErr w:type="spellEnd"/>
    </w:p>
    <w:p w14:paraId="0D3E3030" w14:textId="67038621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đẳng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lọt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3D904F" w14:textId="57CCEF12" w:rsidR="00853EDA" w:rsidRPr="000940AB" w:rsidRDefault="00853EDA" w:rsidP="00F6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A7B7F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khích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</w:p>
    <w:p w14:paraId="069C0EA1" w14:textId="109D61E3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Qua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-bon,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R&amp;D,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0F039" w14:textId="4EBDFD10" w:rsidR="00853EDA" w:rsidRPr="000940AB" w:rsidRDefault="00853EDA" w:rsidP="00F6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A7B7F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Minh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hoá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</w:p>
    <w:p w14:paraId="47CCF9E3" w14:textId="69A21D43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OECD/UN,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FDI.</w:t>
      </w:r>
    </w:p>
    <w:p w14:paraId="0B497400" w14:textId="16861C63" w:rsidR="006A7B7F" w:rsidRPr="000940AB" w:rsidRDefault="006A7B7F" w:rsidP="00F6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cường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</w:p>
    <w:p w14:paraId="684E063C" w14:textId="31FBC554" w:rsidR="00F66220" w:rsidRPr="000940AB" w:rsidRDefault="00F66220" w:rsidP="00B97B9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trốn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DE64F" w14:textId="6824CCC3" w:rsidR="006A7B7F" w:rsidRPr="000940AB" w:rsidRDefault="006A7B7F" w:rsidP="006A7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lưu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khai</w:t>
      </w:r>
      <w:proofErr w:type="spellEnd"/>
    </w:p>
    <w:p w14:paraId="66D037E5" w14:textId="5045D92A" w:rsidR="006A7B7F" w:rsidRPr="000940AB" w:rsidRDefault="006A7B7F" w:rsidP="006A7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proofErr w:type="spellEnd"/>
    </w:p>
    <w:p w14:paraId="5A124B5C" w14:textId="77777777" w:rsidR="00F66220" w:rsidRPr="000940AB" w:rsidRDefault="00F66220" w:rsidP="00B41F6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15%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1E7F6" w14:textId="77777777" w:rsidR="00F66220" w:rsidRPr="000940AB" w:rsidRDefault="00F66220" w:rsidP="00B41F6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3–50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17%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C6C30" w14:textId="77777777" w:rsidR="00F66220" w:rsidRPr="000940AB" w:rsidRDefault="00F66220" w:rsidP="00B41F6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Tuy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ty con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F1A2D" w14:textId="446AFB2E" w:rsidR="00F66220" w:rsidRPr="000940AB" w:rsidRDefault="00F66220" w:rsidP="00B41F6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sớm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R&amp;D,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Nam.</w:t>
      </w:r>
    </w:p>
    <w:p w14:paraId="5732ED79" w14:textId="55C6FFA6" w:rsidR="00B97B98" w:rsidRPr="000940AB" w:rsidRDefault="00AC77FA" w:rsidP="00AC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3.2.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</w:p>
    <w:p w14:paraId="0E66EC72" w14:textId="77777777" w:rsidR="00F66220" w:rsidRPr="000940AB" w:rsidRDefault="00F66220" w:rsidP="00B41F6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 qua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trúc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Nam.</w:t>
      </w:r>
    </w:p>
    <w:p w14:paraId="1D89896D" w14:textId="4E4A6A41" w:rsidR="00F66220" w:rsidRPr="000940AB" w:rsidRDefault="00F66220" w:rsidP="00B41F6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Nam”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ngờ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DB2F7C" w14:textId="6DC4A750" w:rsidR="00AC77FA" w:rsidRPr="000940AB" w:rsidRDefault="00AC77FA" w:rsidP="00AC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thác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dầu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khí</w:t>
      </w:r>
      <w:proofErr w:type="spellEnd"/>
    </w:p>
    <w:p w14:paraId="37AA3E47" w14:textId="2C84EF18" w:rsidR="00F66220" w:rsidRPr="000940AB" w:rsidRDefault="00F66220" w:rsidP="00B41F6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hiếm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(25-50 %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40-50 %)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chi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52A4A" w14:textId="49D2DC06" w:rsidR="00AC77FA" w:rsidRPr="000940AB" w:rsidRDefault="00AC77FA" w:rsidP="00AC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lưu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khai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14:paraId="1192FEBB" w14:textId="77777777" w:rsidR="00F66220" w:rsidRPr="000940AB" w:rsidRDefault="00F66220" w:rsidP="00B41F6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chi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bù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306FA" w14:textId="77777777" w:rsidR="00F66220" w:rsidRPr="000940AB" w:rsidRDefault="00F66220" w:rsidP="00B41F6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F83C1" w14:textId="42EF2F46" w:rsidR="00F66220" w:rsidRPr="000940AB" w:rsidRDefault="00F66220" w:rsidP="00B41F6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toán-kiểm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huống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F56BB1" w14:textId="165AB007" w:rsidR="00AC77FA" w:rsidRPr="000940AB" w:rsidRDefault="00AC77FA" w:rsidP="00AC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luận</w:t>
      </w:r>
      <w:proofErr w:type="spellEnd"/>
    </w:p>
    <w:p w14:paraId="7CFA5A92" w14:textId="77777777" w:rsidR="00B41F66" w:rsidRPr="000940AB" w:rsidRDefault="00F66220" w:rsidP="00B41F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Việt Nam: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khích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DF0AB0" w14:textId="677A8DD6" w:rsidR="00F66220" w:rsidRPr="000940AB" w:rsidRDefault="00F66220" w:rsidP="00B41F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Doanh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ro.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A035F6" w14:textId="576EF0A7" w:rsidR="00D3105D" w:rsidRPr="000940AB" w:rsidRDefault="00D3105D" w:rsidP="00D310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TÀI LIỆU THAM KHẢO</w:t>
      </w:r>
    </w:p>
    <w:p w14:paraId="74C01433" w14:textId="6D9B525C" w:rsidR="00D3105D" w:rsidRDefault="000940AB" w:rsidP="00B322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Bộ</w:t>
      </w:r>
      <w:proofErr w:type="spellEnd"/>
      <w:r w:rsidR="00D3105D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Tài </w:t>
      </w:r>
      <w:proofErr w:type="spellStart"/>
      <w:r w:rsidR="00D3105D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="00D3105D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(2025).</w:t>
      </w:r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Báo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cáo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giải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hướng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dẫn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thi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Thu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nhập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Doanh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sửa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2025.</w:t>
      </w:r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012AF" w14:textId="77777777" w:rsidR="000940AB" w:rsidRPr="000940AB" w:rsidRDefault="000940AB" w:rsidP="00094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uốc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Cộng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hòa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Việt Nam (2025).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Thu 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nhập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Doanh 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sửa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2025.</w:t>
      </w:r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XX/2025/QH15,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14/6/2025,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0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0940AB">
        <w:rPr>
          <w:rFonts w:ascii="Times New Roman" w:eastAsia="Times New Roman" w:hAnsi="Times New Roman" w:cs="Times New Roman"/>
          <w:sz w:val="24"/>
          <w:szCs w:val="24"/>
        </w:rPr>
        <w:t xml:space="preserve"> 01/10/2025.</w:t>
      </w:r>
    </w:p>
    <w:p w14:paraId="07D3D075" w14:textId="64969FC8" w:rsidR="00D3105D" w:rsidRPr="000940AB" w:rsidRDefault="000940AB" w:rsidP="00B322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05D" w:rsidRPr="000940AB">
        <w:rPr>
          <w:rFonts w:ascii="Times New Roman" w:eastAsia="Times New Roman" w:hAnsi="Times New Roman" w:cs="Times New Roman"/>
          <w:b/>
          <w:bCs/>
          <w:sz w:val="24"/>
          <w:szCs w:val="24"/>
        </w:rPr>
        <w:t>PwC Việt Nam (2025).</w:t>
      </w:r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05D" w:rsidRPr="000940AB">
        <w:rPr>
          <w:rFonts w:ascii="Times New Roman" w:eastAsia="Times New Roman" w:hAnsi="Times New Roman" w:cs="Times New Roman"/>
          <w:i/>
          <w:iCs/>
          <w:sz w:val="24"/>
          <w:szCs w:val="24"/>
        </w:rPr>
        <w:t>Important changes of the Corporate Income Tax Law 2025.</w:t>
      </w:r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="00D3105D" w:rsidRPr="000940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tgtFrame="_new" w:history="1">
        <w:r w:rsidR="00D3105D" w:rsidRPr="000940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https://www.pwc.com/vn/vn/publications/2025/250623-important-changes-of-cit-law.pdf</w:t>
        </w:r>
      </w:hyperlink>
    </w:p>
    <w:p w14:paraId="29335F26" w14:textId="77777777" w:rsidR="00F66220" w:rsidRPr="000940AB" w:rsidRDefault="00F66220" w:rsidP="00F66220">
      <w:pPr>
        <w:rPr>
          <w:rFonts w:ascii="Times New Roman" w:hAnsi="Times New Roman" w:cs="Times New Roman"/>
          <w:sz w:val="24"/>
          <w:szCs w:val="24"/>
        </w:rPr>
      </w:pPr>
    </w:p>
    <w:sectPr w:rsidR="00F66220" w:rsidRPr="0009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1DB"/>
    <w:multiLevelType w:val="hybridMultilevel"/>
    <w:tmpl w:val="97645CE0"/>
    <w:lvl w:ilvl="0" w:tplc="DCD2F8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22CA1"/>
    <w:multiLevelType w:val="multilevel"/>
    <w:tmpl w:val="8AB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963EA"/>
    <w:multiLevelType w:val="multilevel"/>
    <w:tmpl w:val="A3F4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B47"/>
    <w:multiLevelType w:val="multilevel"/>
    <w:tmpl w:val="B908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95C61"/>
    <w:multiLevelType w:val="multilevel"/>
    <w:tmpl w:val="9AE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2480F"/>
    <w:multiLevelType w:val="multilevel"/>
    <w:tmpl w:val="534C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32CA7"/>
    <w:multiLevelType w:val="multilevel"/>
    <w:tmpl w:val="A2A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95ECF"/>
    <w:multiLevelType w:val="multilevel"/>
    <w:tmpl w:val="0BEA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C3FEF"/>
    <w:multiLevelType w:val="multilevel"/>
    <w:tmpl w:val="E5E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6061B"/>
    <w:multiLevelType w:val="multilevel"/>
    <w:tmpl w:val="BAB6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7D2AC4"/>
    <w:multiLevelType w:val="multilevel"/>
    <w:tmpl w:val="B562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56C81"/>
    <w:multiLevelType w:val="multilevel"/>
    <w:tmpl w:val="E4BC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A0B43"/>
    <w:multiLevelType w:val="multilevel"/>
    <w:tmpl w:val="569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76941"/>
    <w:multiLevelType w:val="multilevel"/>
    <w:tmpl w:val="7A7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85B88"/>
    <w:multiLevelType w:val="multilevel"/>
    <w:tmpl w:val="6E48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14"/>
  </w:num>
  <w:num w:numId="6">
    <w:abstractNumId w:val="0"/>
  </w:num>
  <w:num w:numId="7">
    <w:abstractNumId w:val="13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1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3NDMzMzA3NjMwMDVQ0lEKTi0uzszPAykwrQUAMsbFXCwAAAA="/>
  </w:docVars>
  <w:rsids>
    <w:rsidRoot w:val="00E917C1"/>
    <w:rsid w:val="000442E5"/>
    <w:rsid w:val="000940AB"/>
    <w:rsid w:val="001B4087"/>
    <w:rsid w:val="002E0E23"/>
    <w:rsid w:val="00612EAE"/>
    <w:rsid w:val="006A7B7F"/>
    <w:rsid w:val="006C7738"/>
    <w:rsid w:val="00853EDA"/>
    <w:rsid w:val="00922A92"/>
    <w:rsid w:val="00924095"/>
    <w:rsid w:val="00A575DC"/>
    <w:rsid w:val="00A6752C"/>
    <w:rsid w:val="00AC77FA"/>
    <w:rsid w:val="00B3228E"/>
    <w:rsid w:val="00B41F66"/>
    <w:rsid w:val="00B97B98"/>
    <w:rsid w:val="00BE263C"/>
    <w:rsid w:val="00D3105D"/>
    <w:rsid w:val="00E77735"/>
    <w:rsid w:val="00E90DC7"/>
    <w:rsid w:val="00E917C1"/>
    <w:rsid w:val="00F66220"/>
    <w:rsid w:val="00FE59A1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CCF4"/>
  <w15:chartTrackingRefBased/>
  <w15:docId w15:val="{FE0742C1-ED4A-4782-890B-D71BDFC4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1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1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17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17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9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7C1"/>
    <w:rPr>
      <w:b/>
      <w:bCs/>
    </w:rPr>
  </w:style>
  <w:style w:type="character" w:styleId="Emphasis">
    <w:name w:val="Emphasis"/>
    <w:basedOn w:val="DefaultParagraphFont"/>
    <w:uiPriority w:val="20"/>
    <w:qFormat/>
    <w:rsid w:val="00E917C1"/>
    <w:rPr>
      <w:i/>
      <w:iCs/>
    </w:rPr>
  </w:style>
  <w:style w:type="paragraph" w:styleId="ListParagraph">
    <w:name w:val="List Paragraph"/>
    <w:basedOn w:val="Normal"/>
    <w:uiPriority w:val="34"/>
    <w:qFormat/>
    <w:rsid w:val="001B4087"/>
    <w:pPr>
      <w:ind w:left="720"/>
      <w:contextualSpacing/>
    </w:pPr>
  </w:style>
  <w:style w:type="character" w:customStyle="1" w:styleId="ms-1">
    <w:name w:val="ms-1"/>
    <w:basedOn w:val="DefaultParagraphFont"/>
    <w:rsid w:val="00F66220"/>
  </w:style>
  <w:style w:type="character" w:customStyle="1" w:styleId="max-w-15ch">
    <w:name w:val="max-w-[15ch]"/>
    <w:basedOn w:val="DefaultParagraphFont"/>
    <w:rsid w:val="00F66220"/>
  </w:style>
  <w:style w:type="character" w:customStyle="1" w:styleId="-me-1">
    <w:name w:val="-me-1"/>
    <w:basedOn w:val="DefaultParagraphFont"/>
    <w:rsid w:val="00F66220"/>
  </w:style>
  <w:style w:type="character" w:styleId="Hyperlink">
    <w:name w:val="Hyperlink"/>
    <w:basedOn w:val="DefaultParagraphFont"/>
    <w:uiPriority w:val="99"/>
    <w:semiHidden/>
    <w:unhideWhenUsed/>
    <w:rsid w:val="00D31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wc.com/vn/vn/publications/2025/250623-important-changes-of-cit-law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2025-11-12T02:53:00Z</dcterms:created>
  <dcterms:modified xsi:type="dcterms:W3CDTF">2025-11-16T07:16:00Z</dcterms:modified>
</cp:coreProperties>
</file>