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ECD7" w14:textId="651DCF2E" w:rsidR="00F144CE" w:rsidRPr="00F144CE" w:rsidRDefault="00F144CE" w:rsidP="00F144C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XÁC ĐỊNH VÀ KÊ KHAI ĐỐI TƯỢNG KHÔNG CHỊU THUẾ GIÁ TRỊ GIA TĂNG (GTGT) THEO LUẬT 48/2024/QH15 CÓ HIỆU LỰC TỪ 01/07/2025</w:t>
      </w:r>
    </w:p>
    <w:p w14:paraId="0FE6E8D5" w14:textId="77777777" w:rsidR="00F144CE" w:rsidRPr="00F144CE" w:rsidRDefault="00F144CE" w:rsidP="00F144CE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Mở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đầu</w:t>
      </w:r>
      <w:proofErr w:type="spellEnd"/>
    </w:p>
    <w:p w14:paraId="287EEFEC" w14:textId="77777777" w:rsidR="00F144CE" w:rsidRPr="00F144CE" w:rsidRDefault="00F144CE" w:rsidP="00F144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(GTGT)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48/2024/QH15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cập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nhật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26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GTGT</w:t>
      </w:r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mở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8C70195" w14:textId="475A9A5C" w:rsidR="00F144CE" w:rsidRPr="00F144CE" w:rsidRDefault="00F144CE" w:rsidP="00F144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GTGT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miễn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vẫn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phát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vụ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GTGT</w:t>
      </w:r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vẫn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dõi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5E95BE69" w14:textId="77777777" w:rsidR="00F144CE" w:rsidRPr="00F144CE" w:rsidRDefault="00F144CE" w:rsidP="00F144CE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sở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pháp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lý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GTGT</w:t>
      </w:r>
    </w:p>
    <w:p w14:paraId="31B6B037" w14:textId="77777777" w:rsidR="00F144CE" w:rsidRPr="00F144CE" w:rsidRDefault="00F144CE" w:rsidP="00F144C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2.1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sở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pháp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lý</w:t>
      </w:r>
      <w:proofErr w:type="spellEnd"/>
    </w:p>
    <w:p w14:paraId="4893014D" w14:textId="77777777" w:rsidR="00F144CE" w:rsidRPr="00F144CE" w:rsidRDefault="00F144CE" w:rsidP="00F144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Luật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GTGT 48/2024/QH15</w:t>
      </w:r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5: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GTGT.</w:t>
      </w:r>
    </w:p>
    <w:p w14:paraId="4AA5C036" w14:textId="77777777" w:rsidR="00F144CE" w:rsidRPr="00F144CE" w:rsidRDefault="00F144CE" w:rsidP="00F144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Nghị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181/2025/NĐ-CP</w:t>
      </w:r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3CBBE45" w14:textId="77777777" w:rsidR="00F144CE" w:rsidRPr="00F144CE" w:rsidRDefault="00F144CE" w:rsidP="00F144C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2.2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Danh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mục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26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GTGT</w:t>
      </w:r>
    </w:p>
    <w:p w14:paraId="4A4F3110" w14:textId="77777777" w:rsidR="00F144CE" w:rsidRPr="00F144CE" w:rsidRDefault="00F144CE" w:rsidP="00F144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7A5ED0C" w14:textId="602262CF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phẩm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cây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trồng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rừng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trồng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chăn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nuôi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thủy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nuôi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trồng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đánh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bắt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nếu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rStyle w:val="Strong"/>
          <w:color w:val="000000"/>
          <w:sz w:val="26"/>
          <w:szCs w:val="26"/>
        </w:rPr>
        <w:t>chưa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chế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biến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thành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phẩm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khác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hoặc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chỉ</w:t>
      </w:r>
      <w:proofErr w:type="spellEnd"/>
      <w:r w:rsidRPr="00F144CE">
        <w:rPr>
          <w:color w:val="000000"/>
          <w:sz w:val="26"/>
          <w:szCs w:val="26"/>
        </w:rPr>
        <w:t xml:space="preserve"> qua </w:t>
      </w:r>
      <w:proofErr w:type="spellStart"/>
      <w:r w:rsidRPr="00F144CE">
        <w:rPr>
          <w:color w:val="000000"/>
          <w:sz w:val="26"/>
          <w:szCs w:val="26"/>
        </w:rPr>
        <w:t>sơ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chế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thường</w:t>
      </w:r>
      <w:proofErr w:type="spellEnd"/>
      <w:r w:rsidRPr="00F144CE">
        <w:rPr>
          <w:color w:val="000000"/>
          <w:sz w:val="26"/>
          <w:szCs w:val="26"/>
        </w:rPr>
        <w:t xml:space="preserve"> (</w:t>
      </w:r>
      <w:proofErr w:type="spellStart"/>
      <w:r w:rsidRPr="00F144CE">
        <w:rPr>
          <w:color w:val="000000"/>
          <w:sz w:val="26"/>
          <w:szCs w:val="26"/>
        </w:rPr>
        <w:t>có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thể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phơi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sấy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bóc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vỏ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nghiền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nhẹ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đóng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hộp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kín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khí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bảo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quản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lạnh</w:t>
      </w:r>
      <w:proofErr w:type="spellEnd"/>
      <w:r w:rsidRPr="00F144CE">
        <w:rPr>
          <w:color w:val="000000"/>
          <w:sz w:val="26"/>
          <w:szCs w:val="26"/>
        </w:rPr>
        <w:t>, …)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3383D24E" w14:textId="285E2891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phẩm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giống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vật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nuôi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>(</w:t>
      </w:r>
      <w:proofErr w:type="spellStart"/>
      <w:r w:rsidRPr="00F144CE">
        <w:rPr>
          <w:color w:val="000000"/>
          <w:sz w:val="26"/>
          <w:szCs w:val="26"/>
        </w:rPr>
        <w:t>giống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gia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súc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gia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cầm</w:t>
      </w:r>
      <w:proofErr w:type="spellEnd"/>
      <w:r w:rsidRPr="00F144CE">
        <w:rPr>
          <w:color w:val="000000"/>
          <w:sz w:val="26"/>
          <w:szCs w:val="26"/>
        </w:rPr>
        <w:t xml:space="preserve">…) 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pháp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về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nuôi</w:t>
      </w:r>
      <w:proofErr w:type="spellEnd"/>
      <w:r w:rsidRPr="00F144CE">
        <w:rPr>
          <w:color w:val="000000"/>
          <w:sz w:val="26"/>
          <w:szCs w:val="26"/>
        </w:rPr>
        <w:t>,</w:t>
      </w:r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rStyle w:val="Strong"/>
          <w:color w:val="000000"/>
          <w:sz w:val="26"/>
          <w:szCs w:val="26"/>
        </w:rPr>
        <w:t>vật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liệu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nhân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giống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cây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trồng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pháp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về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trồng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trọt</w:t>
      </w:r>
      <w:proofErr w:type="spellEnd"/>
      <w:r w:rsidRPr="00F144CE">
        <w:rPr>
          <w:color w:val="000000"/>
          <w:sz w:val="26"/>
          <w:szCs w:val="26"/>
        </w:rPr>
        <w:t>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6327D85E" w14:textId="16AC778D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Thức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ăn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chăn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nuôi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pháp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nuôi</w:t>
      </w:r>
      <w:proofErr w:type="spellEnd"/>
      <w:r w:rsidRPr="00F144CE">
        <w:rPr>
          <w:color w:val="000000"/>
          <w:sz w:val="26"/>
          <w:szCs w:val="26"/>
        </w:rPr>
        <w:t>;</w:t>
      </w:r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rStyle w:val="Strong"/>
          <w:color w:val="000000"/>
          <w:sz w:val="26"/>
          <w:szCs w:val="26"/>
        </w:rPr>
        <w:t>thức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ăn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thủy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pháp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thủy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sản</w:t>
      </w:r>
      <w:proofErr w:type="spellEnd"/>
      <w:r w:rsidRPr="00F144CE">
        <w:rPr>
          <w:color w:val="000000"/>
          <w:sz w:val="26"/>
          <w:szCs w:val="26"/>
        </w:rPr>
        <w:t>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0AA48CC8" w14:textId="5177A899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Muối</w:t>
      </w:r>
      <w:proofErr w:type="spellEnd"/>
      <w:r w:rsidRPr="00F144CE">
        <w:rPr>
          <w:color w:val="000000"/>
          <w:sz w:val="26"/>
          <w:szCs w:val="26"/>
        </w:rPr>
        <w:t xml:space="preserve">: </w:t>
      </w:r>
      <w:proofErr w:type="spellStart"/>
      <w:r w:rsidRPr="00F144CE">
        <w:rPr>
          <w:color w:val="000000"/>
          <w:sz w:val="26"/>
          <w:szCs w:val="26"/>
        </w:rPr>
        <w:t>muối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biển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muối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mỏ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tự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nhiên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muối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tinh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muối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i-ốt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mà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thành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phần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chính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là</w:t>
      </w:r>
      <w:proofErr w:type="spellEnd"/>
      <w:r w:rsidRPr="00F144CE">
        <w:rPr>
          <w:color w:val="000000"/>
          <w:sz w:val="26"/>
          <w:szCs w:val="26"/>
        </w:rPr>
        <w:t xml:space="preserve"> NaCl.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65B98715" w14:textId="1352678C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Nhà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ở </w:t>
      </w:r>
      <w:proofErr w:type="spellStart"/>
      <w:r w:rsidRPr="00F144CE">
        <w:rPr>
          <w:rStyle w:val="Strong"/>
          <w:color w:val="000000"/>
          <w:sz w:val="26"/>
          <w:szCs w:val="26"/>
        </w:rPr>
        <w:t>thuộc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tài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công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do </w:t>
      </w:r>
      <w:proofErr w:type="spellStart"/>
      <w:r w:rsidRPr="00F144CE">
        <w:rPr>
          <w:color w:val="000000"/>
          <w:sz w:val="26"/>
          <w:szCs w:val="26"/>
        </w:rPr>
        <w:t>Nhà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nước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bán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người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đang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thuê</w:t>
      </w:r>
      <w:proofErr w:type="spellEnd"/>
      <w:r w:rsidRPr="00F144CE">
        <w:rPr>
          <w:color w:val="000000"/>
          <w:sz w:val="26"/>
          <w:szCs w:val="26"/>
        </w:rPr>
        <w:t xml:space="preserve"> (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nhà</w:t>
      </w:r>
      <w:proofErr w:type="spellEnd"/>
      <w:r w:rsidRPr="00F144CE">
        <w:rPr>
          <w:color w:val="000000"/>
          <w:sz w:val="26"/>
          <w:szCs w:val="26"/>
        </w:rPr>
        <w:t xml:space="preserve"> ở).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198013D6" w14:textId="5B5B13A4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Tưới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tiêu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nước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; </w:t>
      </w:r>
      <w:proofErr w:type="spellStart"/>
      <w:r w:rsidRPr="00F144CE">
        <w:rPr>
          <w:rStyle w:val="Strong"/>
          <w:color w:val="000000"/>
          <w:sz w:val="26"/>
          <w:szCs w:val="26"/>
        </w:rPr>
        <w:t>cày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bừa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đất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; </w:t>
      </w:r>
      <w:proofErr w:type="spellStart"/>
      <w:r w:rsidRPr="00F144CE">
        <w:rPr>
          <w:rStyle w:val="Strong"/>
          <w:color w:val="000000"/>
          <w:sz w:val="26"/>
          <w:szCs w:val="26"/>
        </w:rPr>
        <w:t>nạo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vét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kênh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mương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nội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đồng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phục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sản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xuất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nghiệp</w:t>
      </w:r>
      <w:proofErr w:type="spellEnd"/>
      <w:r w:rsidRPr="00F144CE">
        <w:rPr>
          <w:color w:val="000000"/>
          <w:sz w:val="26"/>
          <w:szCs w:val="26"/>
        </w:rPr>
        <w:t>;</w:t>
      </w:r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rStyle w:val="Strong"/>
          <w:color w:val="000000"/>
          <w:sz w:val="26"/>
          <w:szCs w:val="26"/>
        </w:rPr>
        <w:t>dịch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vụ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hoạch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nông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</w:p>
    <w:p w14:paraId="6185BF19" w14:textId="4A040BD5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Chuyển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quyền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sử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dụng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đất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của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Đất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đai</w:t>
      </w:r>
      <w:proofErr w:type="spellEnd"/>
      <w:r w:rsidRPr="00F144CE">
        <w:rPr>
          <w:color w:val="000000"/>
          <w:sz w:val="26"/>
          <w:szCs w:val="26"/>
        </w:rPr>
        <w:t>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6301116C" w14:textId="71CF29F3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Bảo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hiểm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nhân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thọ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bảo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hiểm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sức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khỏe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bảo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hiểm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người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học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các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dịch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bảo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hiểm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khác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liên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quan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đến</w:t>
      </w:r>
      <w:proofErr w:type="spellEnd"/>
      <w:r w:rsidRPr="00F144CE">
        <w:rPr>
          <w:color w:val="000000"/>
          <w:sz w:val="26"/>
          <w:szCs w:val="26"/>
        </w:rPr>
        <w:t xml:space="preserve"> con </w:t>
      </w:r>
      <w:proofErr w:type="spellStart"/>
      <w:r w:rsidRPr="00F144CE">
        <w:rPr>
          <w:color w:val="000000"/>
          <w:sz w:val="26"/>
          <w:szCs w:val="26"/>
        </w:rPr>
        <w:t>người</w:t>
      </w:r>
      <w:proofErr w:type="spellEnd"/>
      <w:r w:rsidRPr="00F144CE">
        <w:rPr>
          <w:color w:val="000000"/>
          <w:sz w:val="26"/>
          <w:szCs w:val="26"/>
        </w:rPr>
        <w:t>;</w:t>
      </w:r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rStyle w:val="Strong"/>
          <w:color w:val="000000"/>
          <w:sz w:val="26"/>
          <w:szCs w:val="26"/>
        </w:rPr>
        <w:t>bảo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hiểm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vật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nuôi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cây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trồng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bảo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hiểm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lastRenderedPageBreak/>
        <w:t>nghiệp</w:t>
      </w:r>
      <w:proofErr w:type="spellEnd"/>
      <w:r w:rsidRPr="00F144CE">
        <w:rPr>
          <w:color w:val="000000"/>
          <w:sz w:val="26"/>
          <w:szCs w:val="26"/>
        </w:rPr>
        <w:t>;</w:t>
      </w:r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rStyle w:val="Strong"/>
          <w:color w:val="000000"/>
          <w:sz w:val="26"/>
          <w:szCs w:val="26"/>
        </w:rPr>
        <w:t>bảo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hiểm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tàu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thuyền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thiết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bị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phục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vụ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đánh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bắt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thủy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  <w:r w:rsidRPr="00F144CE">
        <w:rPr>
          <w:color w:val="000000"/>
          <w:sz w:val="26"/>
          <w:szCs w:val="26"/>
        </w:rPr>
        <w:t xml:space="preserve">; </w:t>
      </w:r>
      <w:proofErr w:type="spellStart"/>
      <w:r w:rsidRPr="00F144CE">
        <w:rPr>
          <w:color w:val="000000"/>
          <w:sz w:val="26"/>
          <w:szCs w:val="26"/>
        </w:rPr>
        <w:t>tái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bảo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hiểm</w:t>
      </w:r>
      <w:proofErr w:type="spellEnd"/>
      <w:r w:rsidRPr="00F144CE">
        <w:rPr>
          <w:color w:val="000000"/>
          <w:sz w:val="26"/>
          <w:szCs w:val="26"/>
        </w:rPr>
        <w:t xml:space="preserve">; </w:t>
      </w:r>
      <w:proofErr w:type="spellStart"/>
      <w:r w:rsidRPr="00F144CE">
        <w:rPr>
          <w:color w:val="000000"/>
          <w:sz w:val="26"/>
          <w:szCs w:val="26"/>
        </w:rPr>
        <w:t>bảo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hiểm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các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trình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thiết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bị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dầu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khí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tàu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chứa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dầu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r w:rsidRPr="00F144CE">
        <w:rPr>
          <w:color w:val="000000"/>
          <w:sz w:val="26"/>
          <w:szCs w:val="26"/>
          <w:lang w:val="vi-VN"/>
        </w:rPr>
        <w:t>…</w:t>
      </w:r>
    </w:p>
    <w:p w14:paraId="3B06594A" w14:textId="77777777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Dịch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vụ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tài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chính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ngân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hàng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chứng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khoán</w:t>
      </w:r>
      <w:proofErr w:type="spellEnd"/>
      <w:r w:rsidRPr="00F144CE">
        <w:rPr>
          <w:color w:val="000000"/>
          <w:sz w:val="26"/>
          <w:szCs w:val="26"/>
        </w:rPr>
        <w:t>:</w:t>
      </w:r>
    </w:p>
    <w:p w14:paraId="7D9C4BCA" w14:textId="77777777" w:rsidR="00F144CE" w:rsidRPr="00F144CE" w:rsidRDefault="00F144CE" w:rsidP="00F144CE">
      <w:pPr>
        <w:pStyle w:val="NormalWeb"/>
        <w:numPr>
          <w:ilvl w:val="1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color w:val="000000"/>
          <w:sz w:val="26"/>
          <w:szCs w:val="26"/>
        </w:rPr>
        <w:t>Dịch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cấp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tín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dụng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tổ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chức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tín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dụng</w:t>
      </w:r>
      <w:proofErr w:type="spellEnd"/>
      <w:r w:rsidRPr="00F144CE">
        <w:rPr>
          <w:color w:val="000000"/>
          <w:sz w:val="26"/>
          <w:szCs w:val="26"/>
        </w:rPr>
        <w:t>;</w:t>
      </w:r>
    </w:p>
    <w:p w14:paraId="70147167" w14:textId="77777777" w:rsidR="00F144CE" w:rsidRPr="00F144CE" w:rsidRDefault="00F144CE" w:rsidP="00F144CE">
      <w:pPr>
        <w:pStyle w:val="NormalWeb"/>
        <w:numPr>
          <w:ilvl w:val="1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color w:val="000000"/>
          <w:sz w:val="26"/>
          <w:szCs w:val="26"/>
        </w:rPr>
        <w:t>Các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khoản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phí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vay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vốn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Chính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phủ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với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bên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vay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nước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ngoài</w:t>
      </w:r>
      <w:proofErr w:type="spellEnd"/>
      <w:r w:rsidRPr="00F144CE">
        <w:rPr>
          <w:color w:val="000000"/>
          <w:sz w:val="26"/>
          <w:szCs w:val="26"/>
        </w:rPr>
        <w:t>;</w:t>
      </w:r>
    </w:p>
    <w:p w14:paraId="5B4F6158" w14:textId="77777777" w:rsidR="00F144CE" w:rsidRPr="00F144CE" w:rsidRDefault="00F144CE" w:rsidP="00F144CE">
      <w:pPr>
        <w:pStyle w:val="NormalWeb"/>
        <w:numPr>
          <w:ilvl w:val="1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color w:val="000000"/>
          <w:sz w:val="26"/>
          <w:szCs w:val="26"/>
        </w:rPr>
        <w:t>Dịch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vay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của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người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nộp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thuế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phải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tổ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chức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tín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dụng</w:t>
      </w:r>
      <w:proofErr w:type="spellEnd"/>
      <w:r w:rsidRPr="00F144CE">
        <w:rPr>
          <w:color w:val="000000"/>
          <w:sz w:val="26"/>
          <w:szCs w:val="26"/>
        </w:rPr>
        <w:t>;</w:t>
      </w:r>
    </w:p>
    <w:p w14:paraId="0F566096" w14:textId="1B1A2EF3" w:rsidR="00F144CE" w:rsidRPr="00F144CE" w:rsidRDefault="00F144CE" w:rsidP="00F144CE">
      <w:pPr>
        <w:pStyle w:val="NormalWeb"/>
        <w:numPr>
          <w:ilvl w:val="1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color w:val="000000"/>
          <w:sz w:val="26"/>
          <w:szCs w:val="26"/>
        </w:rPr>
        <w:t>Kinh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doanh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chứng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khoán</w:t>
      </w:r>
      <w:proofErr w:type="spellEnd"/>
      <w:r w:rsidRPr="00F144CE">
        <w:rPr>
          <w:color w:val="000000"/>
          <w:sz w:val="26"/>
          <w:szCs w:val="26"/>
        </w:rPr>
        <w:t xml:space="preserve">: </w:t>
      </w:r>
      <w:proofErr w:type="spellStart"/>
      <w:r w:rsidRPr="00F144CE">
        <w:rPr>
          <w:color w:val="000000"/>
          <w:sz w:val="26"/>
          <w:szCs w:val="26"/>
        </w:rPr>
        <w:t>môi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giới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tự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doanh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bảo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lãnh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phát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hành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tư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vấn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quản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lý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quỹ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quản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lý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danh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mục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đầu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tư</w:t>
      </w:r>
      <w:proofErr w:type="spellEnd"/>
      <w:r w:rsidRPr="00F144CE">
        <w:rPr>
          <w:color w:val="000000"/>
          <w:sz w:val="26"/>
          <w:szCs w:val="26"/>
          <w:lang w:val="vi-VN"/>
        </w:rPr>
        <w:t>.</w:t>
      </w:r>
      <w:r w:rsidRPr="00F144CE">
        <w:rPr>
          <w:color w:val="000000"/>
          <w:sz w:val="26"/>
          <w:szCs w:val="26"/>
        </w:rPr>
        <w:t xml:space="preserve"> </w:t>
      </w:r>
    </w:p>
    <w:p w14:paraId="7FC41861" w14:textId="0C1C6743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Dịch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vụ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tang </w:t>
      </w:r>
      <w:proofErr w:type="spellStart"/>
      <w:r w:rsidRPr="00F144CE">
        <w:rPr>
          <w:rStyle w:val="Strong"/>
          <w:color w:val="000000"/>
          <w:sz w:val="26"/>
          <w:szCs w:val="26"/>
        </w:rPr>
        <w:t>lễ</w:t>
      </w:r>
      <w:proofErr w:type="spellEnd"/>
      <w:r w:rsidRPr="00F144CE">
        <w:rPr>
          <w:color w:val="000000"/>
          <w:sz w:val="26"/>
          <w:szCs w:val="26"/>
        </w:rPr>
        <w:t xml:space="preserve">: </w:t>
      </w:r>
      <w:proofErr w:type="spellStart"/>
      <w:r w:rsidRPr="00F144CE">
        <w:rPr>
          <w:color w:val="000000"/>
          <w:sz w:val="26"/>
          <w:szCs w:val="26"/>
        </w:rPr>
        <w:t>gồm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dịch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thuê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nhà</w:t>
      </w:r>
      <w:proofErr w:type="spellEnd"/>
      <w:r w:rsidRPr="00F144CE">
        <w:rPr>
          <w:color w:val="000000"/>
          <w:sz w:val="26"/>
          <w:szCs w:val="26"/>
        </w:rPr>
        <w:t xml:space="preserve"> tang </w:t>
      </w:r>
      <w:proofErr w:type="spellStart"/>
      <w:r w:rsidRPr="00F144CE">
        <w:rPr>
          <w:color w:val="000000"/>
          <w:sz w:val="26"/>
          <w:szCs w:val="26"/>
        </w:rPr>
        <w:t>lễ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xe</w:t>
      </w:r>
      <w:proofErr w:type="spellEnd"/>
      <w:r w:rsidRPr="00F144CE">
        <w:rPr>
          <w:color w:val="000000"/>
          <w:sz w:val="26"/>
          <w:szCs w:val="26"/>
        </w:rPr>
        <w:t xml:space="preserve"> ô </w:t>
      </w:r>
      <w:proofErr w:type="spellStart"/>
      <w:r w:rsidRPr="00F144CE">
        <w:rPr>
          <w:color w:val="000000"/>
          <w:sz w:val="26"/>
          <w:szCs w:val="26"/>
        </w:rPr>
        <w:t>tô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tang </w:t>
      </w:r>
      <w:proofErr w:type="spellStart"/>
      <w:r w:rsidRPr="00F144CE">
        <w:rPr>
          <w:color w:val="000000"/>
          <w:sz w:val="26"/>
          <w:szCs w:val="26"/>
        </w:rPr>
        <w:t>lễ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táng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người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chết</w:t>
      </w:r>
      <w:proofErr w:type="spellEnd"/>
      <w:r w:rsidRPr="00F144CE">
        <w:rPr>
          <w:color w:val="000000"/>
          <w:sz w:val="26"/>
          <w:szCs w:val="26"/>
        </w:rPr>
        <w:t xml:space="preserve">, di </w:t>
      </w:r>
      <w:proofErr w:type="spellStart"/>
      <w:r w:rsidRPr="00F144CE">
        <w:rPr>
          <w:color w:val="000000"/>
          <w:sz w:val="26"/>
          <w:szCs w:val="26"/>
        </w:rPr>
        <w:t>chuyển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mộ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chăm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sóc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mộ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nếu</w:t>
      </w:r>
      <w:proofErr w:type="spellEnd"/>
      <w:r w:rsidRPr="00F144CE">
        <w:rPr>
          <w:color w:val="000000"/>
          <w:sz w:val="26"/>
          <w:szCs w:val="26"/>
        </w:rPr>
        <w:t xml:space="preserve"> do </w:t>
      </w:r>
      <w:proofErr w:type="spellStart"/>
      <w:r w:rsidRPr="00F144CE">
        <w:rPr>
          <w:color w:val="000000"/>
          <w:sz w:val="26"/>
          <w:szCs w:val="26"/>
        </w:rPr>
        <w:t>các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cơ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sở</w:t>
      </w:r>
      <w:proofErr w:type="spellEnd"/>
      <w:r w:rsidRPr="00F144CE">
        <w:rPr>
          <w:color w:val="000000"/>
          <w:sz w:val="26"/>
          <w:szCs w:val="26"/>
        </w:rPr>
        <w:t xml:space="preserve"> tang </w:t>
      </w:r>
      <w:proofErr w:type="spellStart"/>
      <w:r w:rsidRPr="00F144CE">
        <w:rPr>
          <w:color w:val="000000"/>
          <w:sz w:val="26"/>
          <w:szCs w:val="26"/>
        </w:rPr>
        <w:t>lễ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cung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cấp</w:t>
      </w:r>
      <w:proofErr w:type="spellEnd"/>
      <w:r w:rsidRPr="00F144CE">
        <w:rPr>
          <w:color w:val="000000"/>
          <w:sz w:val="26"/>
          <w:szCs w:val="26"/>
          <w:lang w:val="vi-VN"/>
        </w:rPr>
        <w:t>.</w:t>
      </w:r>
      <w:r w:rsidRPr="00F144CE">
        <w:rPr>
          <w:color w:val="000000"/>
          <w:sz w:val="26"/>
          <w:szCs w:val="26"/>
        </w:rPr>
        <w:t xml:space="preserve"> </w:t>
      </w:r>
    </w:p>
    <w:p w14:paraId="20E842CB" w14:textId="5566FB1D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Cơ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sở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xây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dựng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tu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sửa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công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trình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(di </w:t>
      </w:r>
      <w:proofErr w:type="spellStart"/>
      <w:r w:rsidRPr="00F144CE">
        <w:rPr>
          <w:color w:val="000000"/>
          <w:sz w:val="26"/>
          <w:szCs w:val="26"/>
        </w:rPr>
        <w:t>tích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lịch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sử</w:t>
      </w:r>
      <w:proofErr w:type="spellEnd"/>
      <w:r w:rsidRPr="00F144CE">
        <w:rPr>
          <w:color w:val="000000"/>
          <w:sz w:val="26"/>
          <w:szCs w:val="26"/>
        </w:rPr>
        <w:t xml:space="preserve"> – </w:t>
      </w:r>
      <w:proofErr w:type="spellStart"/>
      <w:r w:rsidRPr="00F144CE">
        <w:rPr>
          <w:color w:val="000000"/>
          <w:sz w:val="26"/>
          <w:szCs w:val="26"/>
        </w:rPr>
        <w:t>văn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hóa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danh</w:t>
      </w:r>
      <w:proofErr w:type="spellEnd"/>
      <w:r w:rsidRPr="00F144CE">
        <w:rPr>
          <w:color w:val="000000"/>
          <w:sz w:val="26"/>
          <w:szCs w:val="26"/>
        </w:rPr>
        <w:t xml:space="preserve"> lam </w:t>
      </w:r>
      <w:proofErr w:type="spellStart"/>
      <w:r w:rsidRPr="00F144CE">
        <w:rPr>
          <w:color w:val="000000"/>
          <w:sz w:val="26"/>
          <w:szCs w:val="26"/>
        </w:rPr>
        <w:t>thắng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cảnh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trình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hóa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nghệ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thuật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hạ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tầng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cộng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nhà</w:t>
      </w:r>
      <w:proofErr w:type="spellEnd"/>
      <w:r w:rsidRPr="00F144CE">
        <w:rPr>
          <w:color w:val="000000"/>
          <w:sz w:val="26"/>
          <w:szCs w:val="26"/>
        </w:rPr>
        <w:t xml:space="preserve"> ở </w:t>
      </w:r>
      <w:proofErr w:type="spellStart"/>
      <w:r w:rsidRPr="00F144CE">
        <w:rPr>
          <w:color w:val="000000"/>
          <w:sz w:val="26"/>
          <w:szCs w:val="26"/>
        </w:rPr>
        <w:t>cho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chính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sách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xã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hội</w:t>
      </w:r>
      <w:proofErr w:type="spellEnd"/>
      <w:r w:rsidRPr="00F144CE">
        <w:rPr>
          <w:color w:val="000000"/>
          <w:sz w:val="26"/>
          <w:szCs w:val="26"/>
        </w:rPr>
        <w:t xml:space="preserve">) </w:t>
      </w:r>
      <w:proofErr w:type="spellStart"/>
      <w:r w:rsidRPr="00F144CE">
        <w:rPr>
          <w:color w:val="000000"/>
          <w:sz w:val="26"/>
          <w:szCs w:val="26"/>
        </w:rPr>
        <w:t>bằng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nguồn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vốn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đóng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góp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nhân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dân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hoặc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viện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trợ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nhân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đạo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nếu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chiếm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rStyle w:val="Strong"/>
          <w:color w:val="000000"/>
          <w:sz w:val="26"/>
          <w:szCs w:val="26"/>
        </w:rPr>
        <w:t xml:space="preserve">≥ 50% </w:t>
      </w:r>
      <w:proofErr w:type="spellStart"/>
      <w:r w:rsidRPr="00F144CE">
        <w:rPr>
          <w:rStyle w:val="Strong"/>
          <w:color w:val="000000"/>
          <w:sz w:val="26"/>
          <w:szCs w:val="26"/>
        </w:rPr>
        <w:t>vốn</w:t>
      </w:r>
      <w:proofErr w:type="spellEnd"/>
      <w:r w:rsidRPr="00F144CE">
        <w:rPr>
          <w:color w:val="000000"/>
          <w:sz w:val="26"/>
          <w:szCs w:val="26"/>
        </w:rPr>
        <w:t>. (</w:t>
      </w:r>
      <w:proofErr w:type="spellStart"/>
      <w:r w:rsidRPr="00F144CE">
        <w:rPr>
          <w:color w:val="000000"/>
          <w:sz w:val="26"/>
          <w:szCs w:val="26"/>
        </w:rPr>
        <w:t>Nếu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vốn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đóng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góp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nhân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dân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hoặc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viện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trợ</w:t>
      </w:r>
      <w:proofErr w:type="spellEnd"/>
      <w:r w:rsidRPr="00F144CE">
        <w:rPr>
          <w:color w:val="000000"/>
          <w:sz w:val="26"/>
          <w:szCs w:val="26"/>
        </w:rPr>
        <w:t xml:space="preserve"> &lt; 50%, </w:t>
      </w:r>
      <w:proofErr w:type="spellStart"/>
      <w:r w:rsidRPr="00F144CE">
        <w:rPr>
          <w:color w:val="000000"/>
          <w:sz w:val="26"/>
          <w:szCs w:val="26"/>
        </w:rPr>
        <w:t>phần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trình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đó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rStyle w:val="Strong"/>
          <w:color w:val="000000"/>
          <w:sz w:val="26"/>
          <w:szCs w:val="26"/>
        </w:rPr>
        <w:t>chịu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thuế</w:t>
      </w:r>
      <w:proofErr w:type="spellEnd"/>
      <w:r w:rsidRPr="00F144CE">
        <w:rPr>
          <w:color w:val="000000"/>
          <w:sz w:val="26"/>
          <w:szCs w:val="26"/>
        </w:rPr>
        <w:t>.)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09571B79" w14:textId="55E3BBC7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Dịch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vụ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dạy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học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dạy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nghề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giáo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dục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giáo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nghề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nghiệp</w:t>
      </w:r>
      <w:proofErr w:type="spellEnd"/>
      <w:r w:rsidRPr="00F144CE">
        <w:rPr>
          <w:color w:val="000000"/>
          <w:sz w:val="26"/>
          <w:szCs w:val="26"/>
        </w:rPr>
        <w:t>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6DC5AD7F" w14:textId="655EB45E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Xuất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bản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báo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chí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sách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và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các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ấn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phẩm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giáo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dục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/ </w:t>
      </w:r>
      <w:proofErr w:type="spellStart"/>
      <w:r w:rsidRPr="00F144CE">
        <w:rPr>
          <w:rStyle w:val="Strong"/>
          <w:color w:val="000000"/>
          <w:sz w:val="26"/>
          <w:szCs w:val="26"/>
        </w:rPr>
        <w:t>chính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trị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/ khoa </w:t>
      </w:r>
      <w:proofErr w:type="spellStart"/>
      <w:r w:rsidRPr="00F144CE">
        <w:rPr>
          <w:rStyle w:val="Strong"/>
          <w:color w:val="000000"/>
          <w:sz w:val="26"/>
          <w:szCs w:val="26"/>
        </w:rPr>
        <w:t>học</w:t>
      </w:r>
      <w:proofErr w:type="spellEnd"/>
      <w:r w:rsidRPr="00F144CE">
        <w:rPr>
          <w:color w:val="000000"/>
          <w:sz w:val="26"/>
          <w:szCs w:val="26"/>
        </w:rPr>
        <w:t xml:space="preserve">: </w:t>
      </w:r>
      <w:proofErr w:type="spellStart"/>
      <w:r w:rsidRPr="00F144CE">
        <w:rPr>
          <w:color w:val="000000"/>
          <w:sz w:val="26"/>
          <w:szCs w:val="26"/>
        </w:rPr>
        <w:t>báo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tạp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chí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bản</w:t>
      </w:r>
      <w:proofErr w:type="spellEnd"/>
      <w:r w:rsidRPr="00F144CE">
        <w:rPr>
          <w:color w:val="000000"/>
          <w:sz w:val="26"/>
          <w:szCs w:val="26"/>
        </w:rPr>
        <w:t xml:space="preserve"> tin, </w:t>
      </w:r>
      <w:proofErr w:type="spellStart"/>
      <w:r w:rsidRPr="00F144CE">
        <w:rPr>
          <w:color w:val="000000"/>
          <w:sz w:val="26"/>
          <w:szCs w:val="26"/>
        </w:rPr>
        <w:t>đặc</w:t>
      </w:r>
      <w:proofErr w:type="spellEnd"/>
      <w:r w:rsidRPr="00F144CE">
        <w:rPr>
          <w:color w:val="000000"/>
          <w:sz w:val="26"/>
          <w:szCs w:val="26"/>
        </w:rPr>
        <w:t xml:space="preserve"> san, </w:t>
      </w:r>
      <w:proofErr w:type="spellStart"/>
      <w:r w:rsidRPr="00F144CE">
        <w:rPr>
          <w:color w:val="000000"/>
          <w:sz w:val="26"/>
          <w:szCs w:val="26"/>
        </w:rPr>
        <w:t>sách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giáo</w:t>
      </w:r>
      <w:proofErr w:type="spellEnd"/>
      <w:r w:rsidRPr="00F144CE">
        <w:rPr>
          <w:color w:val="000000"/>
          <w:sz w:val="26"/>
          <w:szCs w:val="26"/>
        </w:rPr>
        <w:t xml:space="preserve"> khoa, </w:t>
      </w:r>
      <w:proofErr w:type="spellStart"/>
      <w:r w:rsidRPr="00F144CE">
        <w:rPr>
          <w:color w:val="000000"/>
          <w:sz w:val="26"/>
          <w:szCs w:val="26"/>
        </w:rPr>
        <w:t>giáo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trình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sách</w:t>
      </w:r>
      <w:proofErr w:type="spellEnd"/>
      <w:r w:rsidRPr="00F144CE">
        <w:rPr>
          <w:color w:val="000000"/>
          <w:sz w:val="26"/>
          <w:szCs w:val="26"/>
        </w:rPr>
        <w:t xml:space="preserve"> khoa </w:t>
      </w:r>
      <w:proofErr w:type="spellStart"/>
      <w:r w:rsidRPr="00F144CE">
        <w:rPr>
          <w:color w:val="000000"/>
          <w:sz w:val="26"/>
          <w:szCs w:val="26"/>
        </w:rPr>
        <w:t>học</w:t>
      </w:r>
      <w:proofErr w:type="spellEnd"/>
      <w:r w:rsidRPr="00F144CE">
        <w:rPr>
          <w:color w:val="000000"/>
          <w:sz w:val="26"/>
          <w:szCs w:val="26"/>
        </w:rPr>
        <w:t xml:space="preserve"> – </w:t>
      </w:r>
      <w:proofErr w:type="spellStart"/>
      <w:r w:rsidRPr="00F144CE">
        <w:rPr>
          <w:color w:val="000000"/>
          <w:sz w:val="26"/>
          <w:szCs w:val="26"/>
        </w:rPr>
        <w:t>kỹ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thuật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sách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thông</w:t>
      </w:r>
      <w:proofErr w:type="spellEnd"/>
      <w:r w:rsidRPr="00F144CE">
        <w:rPr>
          <w:color w:val="000000"/>
          <w:sz w:val="26"/>
          <w:szCs w:val="26"/>
        </w:rPr>
        <w:t xml:space="preserve"> tin </w:t>
      </w:r>
      <w:proofErr w:type="spellStart"/>
      <w:r w:rsidRPr="00F144CE">
        <w:rPr>
          <w:color w:val="000000"/>
          <w:sz w:val="26"/>
          <w:szCs w:val="26"/>
        </w:rPr>
        <w:t>đối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ngoại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sách</w:t>
      </w:r>
      <w:proofErr w:type="spellEnd"/>
      <w:r w:rsidRPr="00F144CE">
        <w:rPr>
          <w:color w:val="000000"/>
          <w:sz w:val="26"/>
          <w:szCs w:val="26"/>
        </w:rPr>
        <w:t xml:space="preserve"> in </w:t>
      </w:r>
      <w:proofErr w:type="spellStart"/>
      <w:r w:rsidRPr="00F144CE">
        <w:rPr>
          <w:color w:val="000000"/>
          <w:sz w:val="26"/>
          <w:szCs w:val="26"/>
        </w:rPr>
        <w:t>chữ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dân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tộc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thiểu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số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tranh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áp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phích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tuyên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truyền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dữ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liệu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điện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tử</w:t>
      </w:r>
      <w:proofErr w:type="spellEnd"/>
      <w:r w:rsidRPr="00F144CE">
        <w:rPr>
          <w:color w:val="000000"/>
          <w:sz w:val="26"/>
          <w:szCs w:val="26"/>
        </w:rPr>
        <w:t>…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539DD859" w14:textId="42671A90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Vận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chuyển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hành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khách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công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cộng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nội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tỉnh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/ </w:t>
      </w:r>
      <w:proofErr w:type="spellStart"/>
      <w:r w:rsidRPr="00F144CE">
        <w:rPr>
          <w:rStyle w:val="Strong"/>
          <w:color w:val="000000"/>
          <w:sz w:val="26"/>
          <w:szCs w:val="26"/>
        </w:rPr>
        <w:t>đô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thị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/ </w:t>
      </w:r>
      <w:proofErr w:type="spellStart"/>
      <w:r w:rsidRPr="00F144CE">
        <w:rPr>
          <w:rStyle w:val="Strong"/>
          <w:color w:val="000000"/>
          <w:sz w:val="26"/>
          <w:szCs w:val="26"/>
        </w:rPr>
        <w:t>lân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cận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ngoại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tỉnh</w:t>
      </w:r>
      <w:proofErr w:type="spellEnd"/>
      <w:r w:rsidRPr="00F144CE">
        <w:rPr>
          <w:color w:val="000000"/>
          <w:sz w:val="26"/>
          <w:szCs w:val="26"/>
        </w:rPr>
        <w:t xml:space="preserve">: </w:t>
      </w:r>
      <w:proofErr w:type="spellStart"/>
      <w:r w:rsidRPr="00F144CE">
        <w:rPr>
          <w:color w:val="000000"/>
          <w:sz w:val="26"/>
          <w:szCs w:val="26"/>
        </w:rPr>
        <w:t>bằng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xe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buýt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tàu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điện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phương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tiện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thủy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nội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địa</w:t>
      </w:r>
      <w:proofErr w:type="spellEnd"/>
      <w:r w:rsidRPr="00F144CE">
        <w:rPr>
          <w:color w:val="000000"/>
          <w:sz w:val="26"/>
          <w:szCs w:val="26"/>
        </w:rPr>
        <w:t>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6981A7DE" w14:textId="3BF0F41D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Phương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tiện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thủy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nội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địa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trong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nhóm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vận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chuyển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hành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khách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cộng</w:t>
      </w:r>
      <w:proofErr w:type="spellEnd"/>
      <w:r w:rsidRPr="00F144CE">
        <w:rPr>
          <w:color w:val="000000"/>
          <w:sz w:val="26"/>
          <w:szCs w:val="26"/>
        </w:rPr>
        <w:t>. (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mới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bổ</w:t>
      </w:r>
      <w:proofErr w:type="spellEnd"/>
      <w:r w:rsidRPr="00F144CE">
        <w:rPr>
          <w:color w:val="000000"/>
          <w:sz w:val="26"/>
          <w:szCs w:val="26"/>
        </w:rPr>
        <w:t xml:space="preserve"> sung)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2E11F22D" w14:textId="7DC3B66C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Hàng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hóa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nhập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khẩu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ủng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hộ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/ </w:t>
      </w:r>
      <w:proofErr w:type="spellStart"/>
      <w:r w:rsidRPr="00F144CE">
        <w:rPr>
          <w:rStyle w:val="Strong"/>
          <w:color w:val="000000"/>
          <w:sz w:val="26"/>
          <w:szCs w:val="26"/>
        </w:rPr>
        <w:t>tài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trợ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cho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phòng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chống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thiên</w:t>
      </w:r>
      <w:proofErr w:type="spellEnd"/>
      <w:r w:rsidRPr="00F144CE">
        <w:rPr>
          <w:color w:val="000000"/>
          <w:sz w:val="26"/>
          <w:szCs w:val="26"/>
        </w:rPr>
        <w:t xml:space="preserve"> tai, </w:t>
      </w:r>
      <w:proofErr w:type="spellStart"/>
      <w:r w:rsidRPr="00F144CE">
        <w:rPr>
          <w:color w:val="000000"/>
          <w:sz w:val="26"/>
          <w:szCs w:val="26"/>
        </w:rPr>
        <w:t>bệnh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dịch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chiến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tranh</w:t>
      </w:r>
      <w:proofErr w:type="spellEnd"/>
      <w:r w:rsidRPr="00F144CE">
        <w:rPr>
          <w:color w:val="000000"/>
          <w:sz w:val="26"/>
          <w:szCs w:val="26"/>
        </w:rPr>
        <w:t xml:space="preserve"> (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Chính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phủ</w:t>
      </w:r>
      <w:proofErr w:type="spellEnd"/>
      <w:r w:rsidRPr="00F144CE">
        <w:rPr>
          <w:color w:val="000000"/>
          <w:sz w:val="26"/>
          <w:szCs w:val="26"/>
        </w:rPr>
        <w:t>).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01846BDD" w14:textId="50F00577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Hàng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hóa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mua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bán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trao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đổi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để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phục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vụ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cư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dân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biên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giới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danh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mục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của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biên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giới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trong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mức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miễn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thuế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nhập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khẩu</w:t>
      </w:r>
      <w:proofErr w:type="spellEnd"/>
      <w:r w:rsidRPr="00F144CE">
        <w:rPr>
          <w:color w:val="000000"/>
          <w:sz w:val="26"/>
          <w:szCs w:val="26"/>
        </w:rPr>
        <w:t>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502AA3A6" w14:textId="01987E95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r w:rsidRPr="00F144CE">
        <w:rPr>
          <w:rStyle w:val="Strong"/>
          <w:color w:val="000000"/>
          <w:sz w:val="26"/>
          <w:szCs w:val="26"/>
        </w:rPr>
        <w:t xml:space="preserve">Di </w:t>
      </w:r>
      <w:proofErr w:type="spellStart"/>
      <w:r w:rsidRPr="00F144CE">
        <w:rPr>
          <w:rStyle w:val="Strong"/>
          <w:color w:val="000000"/>
          <w:sz w:val="26"/>
          <w:szCs w:val="26"/>
        </w:rPr>
        <w:t>vật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cổ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vật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bảo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vật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quốc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gia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nhập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khẩu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di </w:t>
      </w:r>
      <w:proofErr w:type="spellStart"/>
      <w:r w:rsidRPr="00F144CE">
        <w:rPr>
          <w:color w:val="000000"/>
          <w:sz w:val="26"/>
          <w:szCs w:val="26"/>
        </w:rPr>
        <w:t>sản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hóa</w:t>
      </w:r>
      <w:proofErr w:type="spellEnd"/>
      <w:r w:rsidRPr="00F144CE">
        <w:rPr>
          <w:color w:val="000000"/>
          <w:sz w:val="26"/>
          <w:szCs w:val="26"/>
        </w:rPr>
        <w:t xml:space="preserve"> (</w:t>
      </w:r>
      <w:proofErr w:type="spellStart"/>
      <w:r w:rsidRPr="00F144CE">
        <w:rPr>
          <w:color w:val="000000"/>
          <w:sz w:val="26"/>
          <w:szCs w:val="26"/>
        </w:rPr>
        <w:t>cơ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quan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nước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có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thẩm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quyền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nhập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khẩu</w:t>
      </w:r>
      <w:proofErr w:type="spellEnd"/>
      <w:r w:rsidRPr="00F144CE">
        <w:rPr>
          <w:color w:val="000000"/>
          <w:sz w:val="26"/>
          <w:szCs w:val="26"/>
        </w:rPr>
        <w:t>).</w:t>
      </w:r>
      <w:r w:rsidRPr="00F144CE">
        <w:rPr>
          <w:color w:val="000000"/>
          <w:sz w:val="26"/>
          <w:szCs w:val="26"/>
        </w:rPr>
        <w:t xml:space="preserve"> </w:t>
      </w:r>
    </w:p>
    <w:p w14:paraId="0ED4F126" w14:textId="0018F6F6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Tài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của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tổ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chức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cá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nhân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không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kinh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doanh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>khi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bán</w:t>
      </w:r>
      <w:proofErr w:type="spellEnd"/>
      <w:r w:rsidRPr="00F144CE">
        <w:rPr>
          <w:color w:val="000000"/>
          <w:sz w:val="26"/>
          <w:szCs w:val="26"/>
        </w:rPr>
        <w:t xml:space="preserve"> ra — </w:t>
      </w:r>
      <w:proofErr w:type="spellStart"/>
      <w:r w:rsidRPr="00F144CE">
        <w:rPr>
          <w:color w:val="000000"/>
          <w:sz w:val="26"/>
          <w:szCs w:val="26"/>
        </w:rPr>
        <w:t>ví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như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chuyển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nhượng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tài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sản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cá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nhân</w:t>
      </w:r>
      <w:proofErr w:type="spellEnd"/>
      <w:r w:rsidRPr="00F144CE">
        <w:rPr>
          <w:color w:val="000000"/>
          <w:sz w:val="26"/>
          <w:szCs w:val="26"/>
        </w:rPr>
        <w:t>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1A33F594" w14:textId="640797A8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Hộ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cá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nhân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kinh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doanh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có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doanh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hàng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năm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≤ 200 </w:t>
      </w:r>
      <w:proofErr w:type="spellStart"/>
      <w:r w:rsidRPr="00F144CE">
        <w:rPr>
          <w:rStyle w:val="Strong"/>
          <w:color w:val="000000"/>
          <w:sz w:val="26"/>
          <w:szCs w:val="26"/>
        </w:rPr>
        <w:t>triệu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đồng</w:t>
      </w:r>
      <w:proofErr w:type="spellEnd"/>
      <w:r w:rsidRPr="00F144CE">
        <w:rPr>
          <w:color w:val="000000"/>
          <w:sz w:val="26"/>
          <w:szCs w:val="26"/>
        </w:rPr>
        <w:t xml:space="preserve">. (Theo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GTGT 2024, </w:t>
      </w:r>
      <w:proofErr w:type="spellStart"/>
      <w:r w:rsidRPr="00F144CE">
        <w:rPr>
          <w:color w:val="000000"/>
          <w:sz w:val="26"/>
          <w:szCs w:val="26"/>
        </w:rPr>
        <w:t>mức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này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được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nâng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lên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áp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dụng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đối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tượng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chịu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thuế</w:t>
      </w:r>
      <w:proofErr w:type="spellEnd"/>
      <w:r w:rsidRPr="00F144CE">
        <w:rPr>
          <w:color w:val="000000"/>
          <w:sz w:val="26"/>
          <w:szCs w:val="26"/>
        </w:rPr>
        <w:t>.)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56610023" w14:textId="6C1EE4FD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Phí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lệ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phí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theo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quy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định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Luật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/ NĐ</w:t>
      </w:r>
      <w:r w:rsidRPr="00F144CE">
        <w:rPr>
          <w:rStyle w:val="Strong"/>
          <w:color w:val="000000"/>
          <w:sz w:val="26"/>
          <w:szCs w:val="26"/>
        </w:rPr>
        <w:noBreakHyphen/>
        <w:t>CP</w:t>
      </w:r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nếu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thuế</w:t>
      </w:r>
      <w:proofErr w:type="spellEnd"/>
      <w:r w:rsidRPr="00F144CE">
        <w:rPr>
          <w:color w:val="000000"/>
          <w:sz w:val="26"/>
          <w:szCs w:val="26"/>
        </w:rPr>
        <w:t xml:space="preserve"> GTGT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họ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đối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tượng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chịu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thuế</w:t>
      </w:r>
      <w:proofErr w:type="spellEnd"/>
      <w:r w:rsidRPr="00F144CE">
        <w:rPr>
          <w:color w:val="000000"/>
          <w:sz w:val="26"/>
          <w:szCs w:val="26"/>
        </w:rPr>
        <w:t>. (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có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điều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chỉnh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các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khoản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phí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lệ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phí</w:t>
      </w:r>
      <w:proofErr w:type="spellEnd"/>
      <w:r w:rsidRPr="00F144CE">
        <w:rPr>
          <w:color w:val="000000"/>
          <w:sz w:val="26"/>
          <w:szCs w:val="26"/>
        </w:rPr>
        <w:t xml:space="preserve"> – </w:t>
      </w:r>
      <w:proofErr w:type="spellStart"/>
      <w:r w:rsidRPr="00F144CE">
        <w:rPr>
          <w:color w:val="000000"/>
          <w:sz w:val="26"/>
          <w:szCs w:val="26"/>
        </w:rPr>
        <w:t>thuộc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đối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tượng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chịu</w:t>
      </w:r>
      <w:proofErr w:type="spellEnd"/>
      <w:r w:rsidRPr="00F144CE">
        <w:rPr>
          <w:color w:val="000000"/>
          <w:sz w:val="26"/>
          <w:szCs w:val="26"/>
        </w:rPr>
        <w:t>)</w:t>
      </w:r>
      <w:r w:rsidRPr="00F144CE">
        <w:rPr>
          <w:color w:val="000000"/>
          <w:sz w:val="26"/>
          <w:szCs w:val="26"/>
        </w:rPr>
        <w:t xml:space="preserve"> </w:t>
      </w:r>
    </w:p>
    <w:p w14:paraId="624F2298" w14:textId="58BBFD79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Dịch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vụ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xã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hội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nhân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đạo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viện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trợ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>(</w:t>
      </w:r>
      <w:proofErr w:type="spellStart"/>
      <w:r w:rsidRPr="00F144CE">
        <w:rPr>
          <w:color w:val="000000"/>
          <w:sz w:val="26"/>
          <w:szCs w:val="26"/>
        </w:rPr>
        <w:t>các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dịch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phi </w:t>
      </w:r>
      <w:proofErr w:type="spellStart"/>
      <w:r w:rsidRPr="00F144CE">
        <w:rPr>
          <w:color w:val="000000"/>
          <w:sz w:val="26"/>
          <w:szCs w:val="26"/>
        </w:rPr>
        <w:t>lợi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nhuận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ích</w:t>
      </w:r>
      <w:proofErr w:type="spellEnd"/>
      <w:r w:rsidRPr="00F144CE">
        <w:rPr>
          <w:color w:val="000000"/>
          <w:sz w:val="26"/>
          <w:szCs w:val="26"/>
        </w:rPr>
        <w:t xml:space="preserve">) – 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định Luật + hướng dẫn chi </w:t>
      </w:r>
      <w:proofErr w:type="spellStart"/>
      <w:r w:rsidRPr="00F144CE">
        <w:rPr>
          <w:color w:val="000000"/>
          <w:sz w:val="26"/>
          <w:szCs w:val="26"/>
        </w:rPr>
        <w:t>tiết</w:t>
      </w:r>
      <w:proofErr w:type="spellEnd"/>
      <w:r w:rsidRPr="00F144CE">
        <w:rPr>
          <w:color w:val="000000"/>
          <w:sz w:val="26"/>
          <w:szCs w:val="26"/>
        </w:rPr>
        <w:t>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10EEFFEE" w14:textId="47CEEF3F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Dịch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vụ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y </w:t>
      </w:r>
      <w:proofErr w:type="spellStart"/>
      <w:r w:rsidRPr="00F144CE">
        <w:rPr>
          <w:rStyle w:val="Strong"/>
          <w:color w:val="000000"/>
          <w:sz w:val="26"/>
          <w:szCs w:val="26"/>
        </w:rPr>
        <w:t>tế</w:t>
      </w:r>
      <w:proofErr w:type="spellEnd"/>
      <w:r w:rsidRPr="00F144CE">
        <w:rPr>
          <w:color w:val="000000"/>
          <w:sz w:val="26"/>
          <w:szCs w:val="26"/>
        </w:rPr>
        <w:t xml:space="preserve">: </w:t>
      </w:r>
      <w:proofErr w:type="spellStart"/>
      <w:r w:rsidRPr="00F144CE">
        <w:rPr>
          <w:color w:val="000000"/>
          <w:sz w:val="26"/>
          <w:szCs w:val="26"/>
        </w:rPr>
        <w:t>khám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bệnh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chữa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bệnh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giường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bệnh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xét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nghiệm</w:t>
      </w:r>
      <w:proofErr w:type="spellEnd"/>
      <w:r w:rsidRPr="00F144CE">
        <w:rPr>
          <w:color w:val="000000"/>
          <w:sz w:val="26"/>
          <w:szCs w:val="26"/>
        </w:rPr>
        <w:t>, v.v. (</w:t>
      </w:r>
      <w:proofErr w:type="spellStart"/>
      <w:r w:rsidRPr="00F144CE">
        <w:rPr>
          <w:color w:val="000000"/>
          <w:sz w:val="26"/>
          <w:szCs w:val="26"/>
        </w:rPr>
        <w:t>cơ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sở</w:t>
      </w:r>
      <w:proofErr w:type="spellEnd"/>
      <w:r w:rsidRPr="00F144CE">
        <w:rPr>
          <w:color w:val="000000"/>
          <w:sz w:val="26"/>
          <w:szCs w:val="26"/>
        </w:rPr>
        <w:t xml:space="preserve"> y </w:t>
      </w:r>
      <w:proofErr w:type="spellStart"/>
      <w:r w:rsidRPr="00F144CE">
        <w:rPr>
          <w:color w:val="000000"/>
          <w:sz w:val="26"/>
          <w:szCs w:val="26"/>
        </w:rPr>
        <w:t>tế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/ </w:t>
      </w:r>
      <w:proofErr w:type="spellStart"/>
      <w:r w:rsidRPr="00F144CE">
        <w:rPr>
          <w:color w:val="000000"/>
          <w:sz w:val="26"/>
          <w:szCs w:val="26"/>
        </w:rPr>
        <w:t>được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nhận</w:t>
      </w:r>
      <w:proofErr w:type="spellEnd"/>
      <w:r w:rsidRPr="00F144CE">
        <w:rPr>
          <w:color w:val="000000"/>
          <w:sz w:val="26"/>
          <w:szCs w:val="26"/>
        </w:rPr>
        <w:t>)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3BDD17B7" w14:textId="3994C0F8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Hoạt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động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cứu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hộ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cứu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nạn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>(</w:t>
      </w:r>
      <w:proofErr w:type="spellStart"/>
      <w:r w:rsidRPr="00F144CE">
        <w:rPr>
          <w:color w:val="000000"/>
          <w:sz w:val="26"/>
          <w:szCs w:val="26"/>
        </w:rPr>
        <w:t>nếu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thuộc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nhóm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dịch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được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GTGT </w:t>
      </w:r>
      <w:proofErr w:type="spellStart"/>
      <w:r w:rsidRPr="00F144CE">
        <w:rPr>
          <w:color w:val="000000"/>
          <w:sz w:val="26"/>
          <w:szCs w:val="26"/>
        </w:rPr>
        <w:t>loại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trừ</w:t>
      </w:r>
      <w:proofErr w:type="spellEnd"/>
      <w:r w:rsidRPr="00F144CE">
        <w:rPr>
          <w:color w:val="000000"/>
          <w:sz w:val="26"/>
          <w:szCs w:val="26"/>
        </w:rPr>
        <w:t>). (</w:t>
      </w:r>
      <w:proofErr w:type="spellStart"/>
      <w:r w:rsidRPr="00F144CE">
        <w:rPr>
          <w:color w:val="000000"/>
          <w:sz w:val="26"/>
          <w:szCs w:val="26"/>
        </w:rPr>
        <w:t>Một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số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nguồn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chỉ</w:t>
      </w:r>
      <w:proofErr w:type="spellEnd"/>
      <w:r w:rsidRPr="00F144CE">
        <w:rPr>
          <w:color w:val="000000"/>
          <w:sz w:val="26"/>
          <w:szCs w:val="26"/>
        </w:rPr>
        <w:t xml:space="preserve"> ra </w:t>
      </w:r>
      <w:proofErr w:type="spellStart"/>
      <w:r w:rsidRPr="00F144CE">
        <w:rPr>
          <w:color w:val="000000"/>
          <w:sz w:val="26"/>
          <w:szCs w:val="26"/>
        </w:rPr>
        <w:t>mục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này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trong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danh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sách</w:t>
      </w:r>
      <w:proofErr w:type="spellEnd"/>
      <w:r w:rsidRPr="00F144CE">
        <w:rPr>
          <w:color w:val="000000"/>
          <w:sz w:val="26"/>
          <w:szCs w:val="26"/>
        </w:rPr>
        <w:t xml:space="preserve"> “</w:t>
      </w:r>
      <w:proofErr w:type="spellStart"/>
      <w:r w:rsidRPr="00F144CE">
        <w:rPr>
          <w:color w:val="000000"/>
          <w:sz w:val="26"/>
          <w:szCs w:val="26"/>
        </w:rPr>
        <w:t>không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chịu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thuế</w:t>
      </w:r>
      <w:proofErr w:type="spellEnd"/>
      <w:r w:rsidRPr="00F144CE">
        <w:rPr>
          <w:color w:val="000000"/>
          <w:sz w:val="26"/>
          <w:szCs w:val="26"/>
        </w:rPr>
        <w:t>”)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2BE3A18C" w14:textId="2DE5D5B1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lastRenderedPageBreak/>
        <w:t>Hoạt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động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văn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hóa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thể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thao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giải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trí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công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cộng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>(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trình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cộng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sự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kiện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hóa</w:t>
      </w:r>
      <w:proofErr w:type="spellEnd"/>
      <w:r w:rsidRPr="00F144CE">
        <w:rPr>
          <w:color w:val="000000"/>
          <w:sz w:val="26"/>
          <w:szCs w:val="26"/>
        </w:rPr>
        <w:t xml:space="preserve"> – </w:t>
      </w:r>
      <w:proofErr w:type="spellStart"/>
      <w:r w:rsidRPr="00F144CE">
        <w:rPr>
          <w:color w:val="000000"/>
          <w:sz w:val="26"/>
          <w:szCs w:val="26"/>
        </w:rPr>
        <w:t>thể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thao</w:t>
      </w:r>
      <w:proofErr w:type="spellEnd"/>
      <w:r w:rsidRPr="00F144CE">
        <w:rPr>
          <w:color w:val="000000"/>
          <w:sz w:val="26"/>
          <w:szCs w:val="26"/>
        </w:rPr>
        <w:t xml:space="preserve">…) </w:t>
      </w:r>
      <w:proofErr w:type="spellStart"/>
      <w:r w:rsidRPr="00F144CE">
        <w:rPr>
          <w:color w:val="000000"/>
          <w:sz w:val="26"/>
          <w:szCs w:val="26"/>
        </w:rPr>
        <w:t>nếu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vụ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cộng</w:t>
      </w:r>
      <w:proofErr w:type="spellEnd"/>
      <w:r w:rsidRPr="00F144CE">
        <w:rPr>
          <w:color w:val="000000"/>
          <w:sz w:val="26"/>
          <w:szCs w:val="26"/>
        </w:rPr>
        <w:t>.</w:t>
      </w:r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 xml:space="preserve"> </w:t>
      </w:r>
    </w:p>
    <w:p w14:paraId="56B93812" w14:textId="6FEB7B10" w:rsidR="00F144CE" w:rsidRPr="00F144CE" w:rsidRDefault="00F144CE" w:rsidP="00F144CE">
      <w:pPr>
        <w:pStyle w:val="NormalWeb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Quyền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sử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dụng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đất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F144CE">
        <w:rPr>
          <w:rStyle w:val="Strong"/>
          <w:color w:val="000000"/>
          <w:sz w:val="26"/>
          <w:szCs w:val="26"/>
        </w:rPr>
        <w:t>tài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sản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đất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đai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phục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vụ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công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ích</w:t>
      </w:r>
      <w:proofErr w:type="spellEnd"/>
      <w:r w:rsidRPr="00F144CE">
        <w:rPr>
          <w:rStyle w:val="apple-converted-space"/>
          <w:color w:val="000000"/>
          <w:sz w:val="26"/>
          <w:szCs w:val="26"/>
        </w:rPr>
        <w:t> </w:t>
      </w:r>
      <w:r w:rsidRPr="00F144CE">
        <w:rPr>
          <w:color w:val="000000"/>
          <w:sz w:val="26"/>
          <w:szCs w:val="26"/>
        </w:rPr>
        <w:t>(</w:t>
      </w:r>
      <w:proofErr w:type="spellStart"/>
      <w:r w:rsidRPr="00F144CE">
        <w:rPr>
          <w:color w:val="000000"/>
          <w:sz w:val="26"/>
          <w:szCs w:val="26"/>
        </w:rPr>
        <w:t>một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phần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liên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quan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đến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quyền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sử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dụng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đất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trên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tài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sản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công</w:t>
      </w:r>
      <w:proofErr w:type="spellEnd"/>
      <w:r w:rsidRPr="00F144CE">
        <w:rPr>
          <w:color w:val="000000"/>
          <w:sz w:val="26"/>
          <w:szCs w:val="26"/>
        </w:rPr>
        <w:t xml:space="preserve">) — </w:t>
      </w:r>
      <w:proofErr w:type="spellStart"/>
      <w:r w:rsidRPr="00F144CE">
        <w:rPr>
          <w:color w:val="000000"/>
          <w:sz w:val="26"/>
          <w:szCs w:val="26"/>
        </w:rPr>
        <w:t>nhưng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điểm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này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cần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đọc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kỹ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theo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từng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trường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hợp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và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hướng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dẫn</w:t>
      </w:r>
      <w:proofErr w:type="spellEnd"/>
      <w:r w:rsidRPr="00F144CE">
        <w:rPr>
          <w:color w:val="000000"/>
          <w:sz w:val="26"/>
          <w:szCs w:val="26"/>
        </w:rPr>
        <w:t xml:space="preserve"> chi </w:t>
      </w:r>
      <w:proofErr w:type="spellStart"/>
      <w:r w:rsidRPr="00F144CE">
        <w:rPr>
          <w:color w:val="000000"/>
          <w:sz w:val="26"/>
          <w:szCs w:val="26"/>
        </w:rPr>
        <w:t>tiết</w:t>
      </w:r>
      <w:proofErr w:type="spellEnd"/>
      <w:r w:rsidRPr="00F144CE">
        <w:rPr>
          <w:color w:val="000000"/>
          <w:sz w:val="26"/>
          <w:szCs w:val="26"/>
        </w:rPr>
        <w:t xml:space="preserve"> NĐ / 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đất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đai</w:t>
      </w:r>
      <w:proofErr w:type="spellEnd"/>
      <w:r w:rsidRPr="00F144CE">
        <w:rPr>
          <w:color w:val="000000"/>
          <w:sz w:val="26"/>
          <w:szCs w:val="26"/>
        </w:rPr>
        <w:t>. (</w:t>
      </w:r>
      <w:proofErr w:type="spellStart"/>
      <w:r w:rsidRPr="00F144CE">
        <w:rPr>
          <w:color w:val="000000"/>
          <w:sz w:val="26"/>
          <w:szCs w:val="26"/>
        </w:rPr>
        <w:t>Luật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có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định</w:t>
      </w:r>
      <w:proofErr w:type="spellEnd"/>
      <w:r w:rsidRPr="00F144CE">
        <w:rPr>
          <w:color w:val="000000"/>
          <w:sz w:val="26"/>
          <w:szCs w:val="26"/>
        </w:rPr>
        <w:t xml:space="preserve"> “</w:t>
      </w:r>
      <w:proofErr w:type="spellStart"/>
      <w:r w:rsidRPr="00F144CE">
        <w:rPr>
          <w:color w:val="000000"/>
          <w:sz w:val="26"/>
          <w:szCs w:val="26"/>
        </w:rPr>
        <w:t>chuyển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quyền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sử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dụng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đất</w:t>
      </w:r>
      <w:proofErr w:type="spellEnd"/>
      <w:r w:rsidRPr="00F144CE">
        <w:rPr>
          <w:color w:val="000000"/>
          <w:sz w:val="26"/>
          <w:szCs w:val="26"/>
        </w:rPr>
        <w:t xml:space="preserve">” </w:t>
      </w:r>
      <w:proofErr w:type="spellStart"/>
      <w:r w:rsidRPr="00F144CE">
        <w:rPr>
          <w:color w:val="000000"/>
          <w:sz w:val="26"/>
          <w:szCs w:val="26"/>
        </w:rPr>
        <w:t>là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đối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tượng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không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chịu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thuế</w:t>
      </w:r>
      <w:proofErr w:type="spellEnd"/>
      <w:r w:rsidRPr="00F144CE">
        <w:rPr>
          <w:color w:val="000000"/>
          <w:sz w:val="26"/>
          <w:szCs w:val="26"/>
        </w:rPr>
        <w:t>)</w:t>
      </w:r>
      <w:r w:rsidRPr="00F144C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F144CE">
        <w:rPr>
          <w:color w:val="000000"/>
          <w:sz w:val="26"/>
          <w:szCs w:val="26"/>
        </w:rPr>
        <w:t xml:space="preserve"> </w:t>
      </w:r>
    </w:p>
    <w:p w14:paraId="03010B82" w14:textId="77777777" w:rsidR="00F144CE" w:rsidRPr="00F144CE" w:rsidRDefault="00F144CE" w:rsidP="00F144CE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Hồ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sơ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thủ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tục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xác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GTGT</w:t>
      </w:r>
    </w:p>
    <w:p w14:paraId="5A232E86" w14:textId="77777777" w:rsidR="00F144CE" w:rsidRPr="00F144CE" w:rsidRDefault="00F144CE" w:rsidP="00F144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GTGT</w:t>
      </w:r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2BCC2A5" w14:textId="77777777" w:rsidR="00F144CE" w:rsidRPr="00F144CE" w:rsidRDefault="00F144CE" w:rsidP="00F144C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pháp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lý</w:t>
      </w:r>
      <w:proofErr w:type="spellEnd"/>
    </w:p>
    <w:p w14:paraId="6E83F700" w14:textId="77777777" w:rsidR="00F144CE" w:rsidRPr="00F144CE" w:rsidRDefault="00F144CE" w:rsidP="00F144C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7A7AAA4" w14:textId="77777777" w:rsidR="00F144CE" w:rsidRPr="00F144CE" w:rsidRDefault="00F144CE" w:rsidP="00F144C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thao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viện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64A484B" w14:textId="77777777" w:rsidR="00F144CE" w:rsidRPr="00F144CE" w:rsidRDefault="00F144CE" w:rsidP="00F144C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minh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thuộc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</w:p>
    <w:p w14:paraId="7AC4429A" w14:textId="77777777" w:rsidR="00F144CE" w:rsidRPr="00F144CE" w:rsidRDefault="00F144CE" w:rsidP="00F144C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thẩm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63C1A96" w14:textId="77777777" w:rsidR="00F144CE" w:rsidRPr="00F144CE" w:rsidRDefault="00F144CE" w:rsidP="00F144C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AD4C415" w14:textId="77777777" w:rsidR="00F144CE" w:rsidRPr="00F144CE" w:rsidRDefault="00F144CE" w:rsidP="00F144C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hóa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</w:t>
      </w:r>
      <w:proofErr w:type="spellEnd"/>
    </w:p>
    <w:p w14:paraId="2F73406F" w14:textId="77777777" w:rsidR="00F144CE" w:rsidRPr="00F144CE" w:rsidRDefault="00F144CE" w:rsidP="00F144C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: “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GTGT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48/2024/QH15”.</w:t>
      </w:r>
    </w:p>
    <w:p w14:paraId="737B9DE4" w14:textId="77777777" w:rsidR="00F144CE" w:rsidRPr="00F144CE" w:rsidRDefault="00F144CE" w:rsidP="00F144C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GTGT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8651D2D" w14:textId="77777777" w:rsidR="00F144CE" w:rsidRPr="00F144CE" w:rsidRDefault="00F144CE" w:rsidP="00F144C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Lưu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trữ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hồ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sơ</w:t>
      </w:r>
      <w:proofErr w:type="spellEnd"/>
    </w:p>
    <w:p w14:paraId="0A1D302D" w14:textId="77777777" w:rsidR="00F144CE" w:rsidRPr="00F144CE" w:rsidRDefault="00F144CE" w:rsidP="00F144C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10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1CCDE63F" w14:textId="77777777" w:rsidR="00F144CE" w:rsidRPr="00F144CE" w:rsidRDefault="00F144CE" w:rsidP="00F144CE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8DB0A16" w14:textId="77777777" w:rsidR="00F144CE" w:rsidRPr="00F144CE" w:rsidRDefault="00F144CE" w:rsidP="00F144CE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khai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GTGT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</w:p>
    <w:p w14:paraId="061EF8B0" w14:textId="77777777" w:rsidR="00F144CE" w:rsidRPr="00F144CE" w:rsidRDefault="00F144CE" w:rsidP="00F144C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4.1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Nguyên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tắc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khai</w:t>
      </w:r>
      <w:proofErr w:type="spellEnd"/>
    </w:p>
    <w:p w14:paraId="6D3733CE" w14:textId="77777777" w:rsidR="00F144CE" w:rsidRPr="00F144CE" w:rsidRDefault="00F144CE" w:rsidP="00F144C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vẫn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phải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khai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doanh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phát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GTGT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đầu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ra</w:t>
      </w:r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9CB44B1" w14:textId="77777777" w:rsidR="00F144CE" w:rsidRPr="00F144CE" w:rsidRDefault="00F144CE" w:rsidP="00F144C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”: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0;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dõi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6173902" w14:textId="77777777" w:rsidR="00F144CE" w:rsidRPr="00F144CE" w:rsidRDefault="00F144CE" w:rsidP="00F144C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4.2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khai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57"/>
        <w:gridCol w:w="4286"/>
      </w:tblGrid>
      <w:tr w:rsidR="00F144CE" w:rsidRPr="00F144CE" w14:paraId="193075D7" w14:textId="77777777" w:rsidTr="00F144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F2BB32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045337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Kê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khai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GTGT?</w:t>
            </w:r>
          </w:p>
        </w:tc>
        <w:tc>
          <w:tcPr>
            <w:tcW w:w="0" w:type="auto"/>
            <w:vAlign w:val="center"/>
            <w:hideMark/>
          </w:tcPr>
          <w:p w14:paraId="0AF94DF5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F144CE" w:rsidRPr="00F144CE" w14:paraId="35AFE056" w14:textId="77777777" w:rsidTr="00F144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577AB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6CCEA8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4106D5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GTGT”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GTGT</w:t>
            </w:r>
          </w:p>
        </w:tc>
      </w:tr>
      <w:tr w:rsidR="00F144CE" w:rsidRPr="00F144CE" w14:paraId="7C81666D" w14:textId="77777777" w:rsidTr="00F144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E1D9B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Hộ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200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029F65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A9C899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TNCN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</w:tr>
      <w:tr w:rsidR="00F144CE" w:rsidRPr="00F144CE" w14:paraId="5E7C995F" w14:textId="77777777" w:rsidTr="00F144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3636E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4A21F1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04F01F" w14:textId="77777777" w:rsidR="00F144CE" w:rsidRPr="00F144CE" w:rsidRDefault="00F144CE" w:rsidP="00F144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4CE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</w:tr>
    </w:tbl>
    <w:p w14:paraId="6D14AF9F" w14:textId="79E09003" w:rsidR="00F144CE" w:rsidRPr="00F144CE" w:rsidRDefault="00F144CE" w:rsidP="00F144C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A245FF" w14:textId="77777777" w:rsidR="00F144CE" w:rsidRPr="00F144CE" w:rsidRDefault="00F144CE" w:rsidP="00F144CE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</w:t>
      </w:r>
      <w:proofErr w:type="spellEnd"/>
    </w:p>
    <w:p w14:paraId="7A91E531" w14:textId="112388C7" w:rsidR="00F144CE" w:rsidRPr="00F144CE" w:rsidRDefault="00F144CE" w:rsidP="00F144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GTGT 48/2024/QH15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ràng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GTGT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tuân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đ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ảm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bạch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;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;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F14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GTGT.</w:t>
      </w:r>
    </w:p>
    <w:p w14:paraId="4606918A" w14:textId="77777777" w:rsidR="00F144CE" w:rsidRPr="00F144CE" w:rsidRDefault="00F144CE" w:rsidP="00F144CE">
      <w:pPr>
        <w:pStyle w:val="Heading2"/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b/>
          <w:bCs/>
          <w:color w:val="000000"/>
          <w:sz w:val="26"/>
          <w:szCs w:val="26"/>
        </w:rPr>
        <w:t>Tài</w:t>
      </w:r>
      <w:proofErr w:type="spellEnd"/>
      <w:r w:rsidRPr="00F144CE">
        <w:rPr>
          <w:rStyle w:val="Strong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b/>
          <w:bCs/>
          <w:color w:val="000000"/>
          <w:sz w:val="26"/>
          <w:szCs w:val="26"/>
        </w:rPr>
        <w:t>liệu</w:t>
      </w:r>
      <w:proofErr w:type="spellEnd"/>
      <w:r w:rsidRPr="00F144CE">
        <w:rPr>
          <w:rStyle w:val="Strong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b/>
          <w:bCs/>
          <w:color w:val="000000"/>
          <w:sz w:val="26"/>
          <w:szCs w:val="26"/>
        </w:rPr>
        <w:t>tham</w:t>
      </w:r>
      <w:proofErr w:type="spellEnd"/>
      <w:r w:rsidRPr="00F144CE">
        <w:rPr>
          <w:rStyle w:val="Strong"/>
          <w:b/>
          <w:bCs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b/>
          <w:bCs/>
          <w:color w:val="000000"/>
          <w:sz w:val="26"/>
          <w:szCs w:val="26"/>
        </w:rPr>
        <w:t>khảo</w:t>
      </w:r>
      <w:proofErr w:type="spellEnd"/>
    </w:p>
    <w:p w14:paraId="050A31FB" w14:textId="46DD98C9" w:rsidR="00F144CE" w:rsidRPr="00F144CE" w:rsidRDefault="00F144CE" w:rsidP="00F144CE">
      <w:pPr>
        <w:pStyle w:val="NormalWeb"/>
        <w:numPr>
          <w:ilvl w:val="0"/>
          <w:numId w:val="6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Luật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Thuế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GTGT 48/2024/QH15</w:t>
      </w:r>
      <w:r w:rsidRPr="00F144CE">
        <w:rPr>
          <w:color w:val="000000"/>
          <w:sz w:val="26"/>
          <w:szCs w:val="26"/>
        </w:rPr>
        <w:t>, 2024.</w:t>
      </w:r>
    </w:p>
    <w:p w14:paraId="732C0B4D" w14:textId="3E3B29AA" w:rsidR="00F144CE" w:rsidRPr="00F144CE" w:rsidRDefault="00F144CE" w:rsidP="00F144CE">
      <w:pPr>
        <w:pStyle w:val="NormalWeb"/>
        <w:numPr>
          <w:ilvl w:val="0"/>
          <w:numId w:val="6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rStyle w:val="Strong"/>
          <w:color w:val="000000"/>
          <w:sz w:val="26"/>
          <w:szCs w:val="26"/>
        </w:rPr>
        <w:t>Nghị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định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181/2025/NĐ-CP </w:t>
      </w:r>
      <w:proofErr w:type="spellStart"/>
      <w:r w:rsidRPr="00F144CE">
        <w:rPr>
          <w:rStyle w:val="Strong"/>
          <w:color w:val="000000"/>
          <w:sz w:val="26"/>
          <w:szCs w:val="26"/>
        </w:rPr>
        <w:t>hướng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dẫn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Luật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F144CE">
        <w:rPr>
          <w:rStyle w:val="Strong"/>
          <w:color w:val="000000"/>
          <w:sz w:val="26"/>
          <w:szCs w:val="26"/>
        </w:rPr>
        <w:t>Thuế</w:t>
      </w:r>
      <w:proofErr w:type="spellEnd"/>
      <w:r w:rsidRPr="00F144CE">
        <w:rPr>
          <w:rStyle w:val="Strong"/>
          <w:color w:val="000000"/>
          <w:sz w:val="26"/>
          <w:szCs w:val="26"/>
        </w:rPr>
        <w:t xml:space="preserve"> GTGT</w:t>
      </w:r>
      <w:r w:rsidRPr="00F144CE">
        <w:rPr>
          <w:color w:val="000000"/>
          <w:sz w:val="26"/>
          <w:szCs w:val="26"/>
        </w:rPr>
        <w:t>, 2025.</w:t>
      </w:r>
    </w:p>
    <w:p w14:paraId="3A11446E" w14:textId="77777777" w:rsidR="00F144CE" w:rsidRPr="00F144CE" w:rsidRDefault="00F144CE" w:rsidP="00F144CE">
      <w:pPr>
        <w:pStyle w:val="NormalWeb"/>
        <w:numPr>
          <w:ilvl w:val="0"/>
          <w:numId w:val="6"/>
        </w:numPr>
        <w:jc w:val="both"/>
        <w:rPr>
          <w:color w:val="000000"/>
          <w:sz w:val="26"/>
          <w:szCs w:val="26"/>
        </w:rPr>
      </w:pPr>
      <w:proofErr w:type="spellStart"/>
      <w:r w:rsidRPr="00F144CE">
        <w:rPr>
          <w:color w:val="000000"/>
          <w:sz w:val="26"/>
          <w:szCs w:val="26"/>
        </w:rPr>
        <w:t>Tổng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cục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Thuế</w:t>
      </w:r>
      <w:proofErr w:type="spellEnd"/>
      <w:r w:rsidRPr="00F144CE">
        <w:rPr>
          <w:color w:val="000000"/>
          <w:sz w:val="26"/>
          <w:szCs w:val="26"/>
        </w:rPr>
        <w:t xml:space="preserve">, </w:t>
      </w:r>
      <w:proofErr w:type="spellStart"/>
      <w:r w:rsidRPr="00F144CE">
        <w:rPr>
          <w:color w:val="000000"/>
          <w:sz w:val="26"/>
          <w:szCs w:val="26"/>
        </w:rPr>
        <w:t>Hướng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dẫn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kê</w:t>
      </w:r>
      <w:proofErr w:type="spellEnd"/>
      <w:r w:rsidRPr="00F144CE">
        <w:rPr>
          <w:color w:val="000000"/>
          <w:sz w:val="26"/>
          <w:szCs w:val="26"/>
        </w:rPr>
        <w:t xml:space="preserve"> </w:t>
      </w:r>
      <w:proofErr w:type="spellStart"/>
      <w:r w:rsidRPr="00F144CE">
        <w:rPr>
          <w:color w:val="000000"/>
          <w:sz w:val="26"/>
          <w:szCs w:val="26"/>
        </w:rPr>
        <w:t>khai</w:t>
      </w:r>
      <w:proofErr w:type="spellEnd"/>
      <w:r w:rsidRPr="00F144CE">
        <w:rPr>
          <w:color w:val="000000"/>
          <w:sz w:val="26"/>
          <w:szCs w:val="26"/>
        </w:rPr>
        <w:t xml:space="preserve"> GTGT 2025.</w:t>
      </w:r>
    </w:p>
    <w:p w14:paraId="542CBF92" w14:textId="77777777" w:rsidR="00F144CE" w:rsidRPr="00F144CE" w:rsidRDefault="00F144CE" w:rsidP="00F144C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144CE" w:rsidRPr="00F144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77B"/>
    <w:multiLevelType w:val="multilevel"/>
    <w:tmpl w:val="9F02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E0CBA"/>
    <w:multiLevelType w:val="multilevel"/>
    <w:tmpl w:val="E34C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D1719"/>
    <w:multiLevelType w:val="multilevel"/>
    <w:tmpl w:val="9076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E7CE7"/>
    <w:multiLevelType w:val="multilevel"/>
    <w:tmpl w:val="DBB0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87828"/>
    <w:multiLevelType w:val="multilevel"/>
    <w:tmpl w:val="B426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F767D"/>
    <w:multiLevelType w:val="multilevel"/>
    <w:tmpl w:val="CD74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5C353B"/>
    <w:multiLevelType w:val="multilevel"/>
    <w:tmpl w:val="8C44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CE"/>
    <w:rsid w:val="007034E4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FDA9"/>
  <w15:chartTrackingRefBased/>
  <w15:docId w15:val="{FD3D6F7A-9E6C-E946-82DC-83627852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44C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144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44C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144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44C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144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44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144CE"/>
  </w:style>
  <w:style w:type="character" w:styleId="Hyperlink">
    <w:name w:val="Hyperlink"/>
    <w:basedOn w:val="DefaultParagraphFont"/>
    <w:uiPriority w:val="99"/>
    <w:semiHidden/>
    <w:unhideWhenUsed/>
    <w:rsid w:val="00F144CE"/>
    <w:rPr>
      <w:color w:val="0000FF"/>
      <w:u w:val="single"/>
    </w:rPr>
  </w:style>
  <w:style w:type="character" w:customStyle="1" w:styleId="ms-1">
    <w:name w:val="ms-1"/>
    <w:basedOn w:val="DefaultParagraphFont"/>
    <w:rsid w:val="00F144CE"/>
  </w:style>
  <w:style w:type="character" w:customStyle="1" w:styleId="max-w-15ch">
    <w:name w:val="max-w-[15ch]"/>
    <w:basedOn w:val="DefaultParagraphFont"/>
    <w:rsid w:val="00F144CE"/>
  </w:style>
  <w:style w:type="character" w:customStyle="1" w:styleId="-me-1">
    <w:name w:val="-me-1"/>
    <w:basedOn w:val="DefaultParagraphFont"/>
    <w:rsid w:val="00F1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2025-11-16T08:46:00Z</dcterms:created>
  <dcterms:modified xsi:type="dcterms:W3CDTF">2025-11-16T09:02:00Z</dcterms:modified>
</cp:coreProperties>
</file>