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7492" w14:textId="6B9F4C2D" w:rsidR="00BA7C91" w:rsidRPr="00BA7C91" w:rsidRDefault="00BA7C91" w:rsidP="003A63AD">
      <w:pPr>
        <w:spacing w:before="120" w:after="120" w:line="360" w:lineRule="auto"/>
        <w:jc w:val="center"/>
        <w:outlineLvl w:val="0"/>
        <w:rPr>
          <w:rFonts w:ascii="Times New Roman" w:eastAsia="Times New Roman" w:hAnsi="Times New Roman" w:cs="Times New Roman"/>
          <w:b/>
          <w:bCs/>
          <w:kern w:val="36"/>
          <w:sz w:val="38"/>
          <w:szCs w:val="38"/>
        </w:rPr>
      </w:pPr>
      <w:r w:rsidRPr="003A63AD">
        <w:rPr>
          <w:rFonts w:ascii="Times New Roman" w:eastAsia="Times New Roman" w:hAnsi="Times New Roman" w:cs="Times New Roman"/>
          <w:b/>
          <w:bCs/>
          <w:kern w:val="36"/>
          <w:sz w:val="38"/>
          <w:szCs w:val="38"/>
        </w:rPr>
        <w:t>Các</w:t>
      </w:r>
      <w:r w:rsidRPr="003A63AD">
        <w:rPr>
          <w:rFonts w:ascii="Times New Roman" w:eastAsia="Times New Roman" w:hAnsi="Times New Roman" w:cs="Times New Roman"/>
          <w:b/>
          <w:bCs/>
          <w:kern w:val="36"/>
          <w:sz w:val="38"/>
          <w:szCs w:val="38"/>
          <w:lang w:val="vi-VN"/>
        </w:rPr>
        <w:t xml:space="preserve"> mặt hàng, dịch vụ chịu </w:t>
      </w:r>
      <w:r w:rsidRPr="00BA7C91">
        <w:rPr>
          <w:rFonts w:ascii="Times New Roman" w:eastAsia="Times New Roman" w:hAnsi="Times New Roman" w:cs="Times New Roman"/>
          <w:b/>
          <w:bCs/>
          <w:kern w:val="36"/>
          <w:sz w:val="38"/>
          <w:szCs w:val="38"/>
        </w:rPr>
        <w:t>thuế tiêu thụ đặc biệt theo Luật Thuế tiêu thụ đặc biệt 2025</w:t>
      </w:r>
    </w:p>
    <w:p w14:paraId="30255D64" w14:textId="3242773D" w:rsidR="00BA7C91" w:rsidRPr="00BA7C91" w:rsidRDefault="00BA7C91" w:rsidP="003A63AD">
      <w:pPr>
        <w:spacing w:before="120" w:after="120" w:line="360" w:lineRule="auto"/>
        <w:ind w:firstLine="720"/>
        <w:jc w:val="both"/>
        <w:rPr>
          <w:rFonts w:ascii="Times New Roman" w:eastAsia="Times New Roman" w:hAnsi="Times New Roman" w:cs="Times New Roman"/>
          <w:color w:val="222222"/>
          <w:sz w:val="26"/>
          <w:szCs w:val="26"/>
          <w:lang w:val="vi-VN"/>
        </w:rPr>
      </w:pPr>
      <w:r w:rsidRPr="00BA7C91">
        <w:rPr>
          <w:rFonts w:ascii="Times New Roman" w:eastAsia="Times New Roman" w:hAnsi="Times New Roman" w:cs="Times New Roman"/>
          <w:b/>
          <w:bCs/>
          <w:color w:val="222222"/>
          <w:sz w:val="26"/>
          <w:szCs w:val="26"/>
        </w:rPr>
        <w:t>Luật Thuế tiêu thụ đặc biệt 2025 có hiệu lực từ 01/01/2026, với nhiều điểm thay đổi liên quan đến cách tính thuế đối với các mặt hàng</w:t>
      </w:r>
      <w:r w:rsidR="00D629D6" w:rsidRPr="00D629D6">
        <w:rPr>
          <w:rFonts w:ascii="Times New Roman" w:eastAsia="Times New Roman" w:hAnsi="Times New Roman" w:cs="Times New Roman"/>
          <w:b/>
          <w:bCs/>
          <w:color w:val="222222"/>
          <w:sz w:val="26"/>
          <w:szCs w:val="26"/>
          <w:lang w:val="vi-VN"/>
        </w:rPr>
        <w:t xml:space="preserve">, dịch vụ </w:t>
      </w:r>
      <w:r w:rsidRPr="00BA7C91">
        <w:rPr>
          <w:rFonts w:ascii="Times New Roman" w:eastAsia="Times New Roman" w:hAnsi="Times New Roman" w:cs="Times New Roman"/>
          <w:b/>
          <w:bCs/>
          <w:color w:val="222222"/>
          <w:sz w:val="26"/>
          <w:szCs w:val="26"/>
        </w:rPr>
        <w:t xml:space="preserve">chịu thuế đặc thù. </w:t>
      </w:r>
      <w:r w:rsidR="00D629D6" w:rsidRPr="00D629D6">
        <w:rPr>
          <w:rFonts w:ascii="Times New Roman" w:eastAsia="Times New Roman" w:hAnsi="Times New Roman" w:cs="Times New Roman"/>
          <w:b/>
          <w:bCs/>
          <w:color w:val="222222"/>
          <w:sz w:val="26"/>
          <w:szCs w:val="26"/>
        </w:rPr>
        <w:t>Sau</w:t>
      </w:r>
      <w:r w:rsidR="00D629D6" w:rsidRPr="00D629D6">
        <w:rPr>
          <w:rFonts w:ascii="Times New Roman" w:eastAsia="Times New Roman" w:hAnsi="Times New Roman" w:cs="Times New Roman"/>
          <w:b/>
          <w:bCs/>
          <w:color w:val="222222"/>
          <w:sz w:val="26"/>
          <w:szCs w:val="26"/>
          <w:lang w:val="vi-VN"/>
        </w:rPr>
        <w:t xml:space="preserve"> đây là các mặt hàng và dịch vụ chịu thuế tiêu thụ đặc biệt </w:t>
      </w:r>
      <w:r w:rsidRPr="00BA7C91">
        <w:rPr>
          <w:rFonts w:ascii="Times New Roman" w:eastAsia="Times New Roman" w:hAnsi="Times New Roman" w:cs="Times New Roman"/>
          <w:b/>
          <w:bCs/>
          <w:color w:val="222222"/>
          <w:sz w:val="26"/>
          <w:szCs w:val="26"/>
        </w:rPr>
        <w:t xml:space="preserve">trong luật </w:t>
      </w:r>
      <w:r w:rsidR="00D629D6" w:rsidRPr="00BA7C91">
        <w:rPr>
          <w:rFonts w:ascii="Times New Roman" w:eastAsia="Times New Roman" w:hAnsi="Times New Roman" w:cs="Times New Roman"/>
          <w:b/>
          <w:bCs/>
          <w:color w:val="222222"/>
          <w:sz w:val="26"/>
          <w:szCs w:val="26"/>
        </w:rPr>
        <w:t>Luật Thuế tiêu thụ đặc biệt 2025</w:t>
      </w:r>
    </w:p>
    <w:p w14:paraId="7B995F05" w14:textId="3DF49906" w:rsidR="00BA7C91" w:rsidRPr="00D629D6" w:rsidRDefault="00BA7C91" w:rsidP="003A63AD">
      <w:pPr>
        <w:pStyle w:val="NormalWeb"/>
        <w:spacing w:before="120" w:beforeAutospacing="0" w:after="120" w:afterAutospacing="0" w:line="360" w:lineRule="auto"/>
        <w:ind w:firstLine="720"/>
        <w:jc w:val="both"/>
        <w:rPr>
          <w:color w:val="222222"/>
          <w:sz w:val="26"/>
          <w:szCs w:val="26"/>
        </w:rPr>
      </w:pPr>
      <w:r w:rsidRPr="00D629D6">
        <w:rPr>
          <w:color w:val="222222"/>
          <w:sz w:val="26"/>
          <w:szCs w:val="26"/>
        </w:rPr>
        <w:t>Thuế tiêu thụ đặc biệt đánh vào một số mặt hàng, dịch vụ đặc biệt, mang tính chất xa xỉ, ảnh hưởng đến sức khỏe, môi trường hoặc cần điều tiết tiêu dùng.</w:t>
      </w:r>
      <w:r w:rsidR="00D629D6" w:rsidRPr="00D629D6">
        <w:rPr>
          <w:color w:val="222222"/>
          <w:sz w:val="26"/>
          <w:szCs w:val="26"/>
          <w:lang w:val="vi-VN"/>
        </w:rPr>
        <w:t xml:space="preserve"> </w:t>
      </w:r>
      <w:r w:rsidRPr="00D629D6">
        <w:rPr>
          <w:color w:val="222222"/>
          <w:sz w:val="26"/>
          <w:szCs w:val="26"/>
        </w:rPr>
        <w:t>Theo Điều 2</w:t>
      </w:r>
      <w:r w:rsidRPr="00D629D6">
        <w:rPr>
          <w:rStyle w:val="apple-converted-space"/>
          <w:color w:val="222222"/>
          <w:sz w:val="26"/>
          <w:szCs w:val="26"/>
        </w:rPr>
        <w:t> </w:t>
      </w:r>
      <w:hyperlink r:id="rId5" w:history="1">
        <w:r w:rsidRPr="00D629D6">
          <w:rPr>
            <w:rStyle w:val="Hyperlink"/>
            <w:color w:val="A67942"/>
            <w:sz w:val="26"/>
            <w:szCs w:val="26"/>
          </w:rPr>
          <w:t>Luật Thuế tiêu thụ đặc biệt 2025</w:t>
        </w:r>
      </w:hyperlink>
      <w:r w:rsidRPr="00D629D6">
        <w:rPr>
          <w:rStyle w:val="apple-converted-space"/>
          <w:color w:val="222222"/>
          <w:sz w:val="26"/>
          <w:szCs w:val="26"/>
        </w:rPr>
        <w:t> </w:t>
      </w:r>
      <w:r w:rsidRPr="00D629D6">
        <w:rPr>
          <w:color w:val="222222"/>
          <w:sz w:val="26"/>
          <w:szCs w:val="26"/>
        </w:rPr>
        <w:t>quy định những mặt hàng áp dụng Thuế tiêu thụ đặc biệt:</w:t>
      </w:r>
    </w:p>
    <w:p w14:paraId="45DF383B" w14:textId="77777777" w:rsidR="00BA7C91" w:rsidRPr="003A63AD" w:rsidRDefault="00BA7C91" w:rsidP="00D629D6">
      <w:pPr>
        <w:pStyle w:val="NormalWeb"/>
        <w:spacing w:before="120" w:beforeAutospacing="0" w:after="120" w:afterAutospacing="0" w:line="360" w:lineRule="auto"/>
        <w:jc w:val="both"/>
        <w:rPr>
          <w:b/>
          <w:bCs/>
          <w:i/>
          <w:iCs/>
          <w:color w:val="222222"/>
          <w:sz w:val="26"/>
          <w:szCs w:val="26"/>
        </w:rPr>
      </w:pPr>
      <w:r w:rsidRPr="003A63AD">
        <w:rPr>
          <w:b/>
          <w:bCs/>
          <w:i/>
          <w:iCs/>
          <w:color w:val="222222"/>
          <w:sz w:val="26"/>
          <w:szCs w:val="26"/>
        </w:rPr>
        <w:t>1. Hàng hóa bao gồm:</w:t>
      </w:r>
    </w:p>
    <w:p w14:paraId="1F7CFB30"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a) Thuốc lá theo quy định của Luật Phòng, chống tác hại của thuốc lá;</w:t>
      </w:r>
    </w:p>
    <w:p w14:paraId="18BD2C6B"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b) Rượu theo quy định của Luật Phòng, chống tác hại của rượu, bia;</w:t>
      </w:r>
    </w:p>
    <w:p w14:paraId="2C5DBF64"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c) Bia theo quy định của Luật Phòng, chống tác hại của rượu, bia;</w:t>
      </w:r>
    </w:p>
    <w:p w14:paraId="238433D9"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p>
    <w:p w14:paraId="21C5E17A"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đ) Xe mô tô hai bánh, xe mô tô ba bánh có dung tích xi lanh trên 125 cm 3;</w:t>
      </w:r>
    </w:p>
    <w:p w14:paraId="3F67D066"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e) Máy bay, trực thăng, tàu lượn và du thuyền;</w:t>
      </w:r>
    </w:p>
    <w:p w14:paraId="0CB2B30C"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g) Xăng các loại;</w:t>
      </w:r>
    </w:p>
    <w:p w14:paraId="3E8B8C9B"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 xml:space="preserve">h) Điều hoà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w:t>
      </w:r>
      <w:r w:rsidRPr="00D629D6">
        <w:rPr>
          <w:i/>
          <w:iCs/>
          <w:color w:val="222222"/>
          <w:sz w:val="26"/>
          <w:szCs w:val="26"/>
        </w:rPr>
        <w:lastRenderedPageBreak/>
        <w:t>nhập khẩu (cục nóng, cục lạnh) vẫn thuộc đối tượng chịu thuế tiêu thụ đặc biệt như đối với sản phẩm hoàn chỉnh (máy điều hoà nhiệt độ hoàn chỉnh);</w:t>
      </w:r>
    </w:p>
    <w:p w14:paraId="0A9DE776"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i) Bài lá;</w:t>
      </w:r>
    </w:p>
    <w:p w14:paraId="66C5427A"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k) Vàng mã, hàng mã, không bao gồm hàng mã là đồ chơi trẻ em và đồ dùng dạy học;</w:t>
      </w:r>
    </w:p>
    <w:p w14:paraId="38942D65"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l) Nước giải khát theo Tiêu chuẩn quốc gia (TCVN) có hàm lượng đường trên 5g/100mL</w:t>
      </w:r>
    </w:p>
    <w:p w14:paraId="279E44D3"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Hàng hóa quy định tại khoản này là sản phẩm hoàn chỉnh, không bao gồm linh kiện để lắp ráp các hàng hóa này.</w:t>
      </w:r>
    </w:p>
    <w:p w14:paraId="7DC310EA" w14:textId="77777777" w:rsidR="00BA7C91" w:rsidRPr="003A63AD" w:rsidRDefault="00BA7C91" w:rsidP="00D629D6">
      <w:pPr>
        <w:pStyle w:val="NormalWeb"/>
        <w:spacing w:before="120" w:beforeAutospacing="0" w:after="120" w:afterAutospacing="0" w:line="360" w:lineRule="auto"/>
        <w:jc w:val="both"/>
        <w:rPr>
          <w:b/>
          <w:bCs/>
          <w:i/>
          <w:iCs/>
          <w:color w:val="222222"/>
          <w:sz w:val="26"/>
          <w:szCs w:val="26"/>
        </w:rPr>
      </w:pPr>
      <w:r w:rsidRPr="003A63AD">
        <w:rPr>
          <w:b/>
          <w:bCs/>
          <w:i/>
          <w:iCs/>
          <w:color w:val="222222"/>
          <w:sz w:val="26"/>
          <w:szCs w:val="26"/>
        </w:rPr>
        <w:t>2. Dịch vụ bao gồm:</w:t>
      </w:r>
    </w:p>
    <w:p w14:paraId="3F6CDF0A"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a) Kinh doanh vũ trường;</w:t>
      </w:r>
    </w:p>
    <w:p w14:paraId="4EB54A30"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b) Kinh doanh mát-xa (massage), ka-ra-ô-kê (karaoke);</w:t>
      </w:r>
    </w:p>
    <w:p w14:paraId="1BEBFF30"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c) Kinh doanh ca-si-nô (casino); trò chơi điện tử có thưởng bao gồm trò chơi bằng máy giắc-pót (jackpot), máy sờ-lot (slot) và các loại máy tương tự;</w:t>
      </w:r>
    </w:p>
    <w:p w14:paraId="47A98F8E"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d) Kinh doanh đặt cược bao gồm đặt cược thể thao, giải trí và các hình thức đặt cược khác theo quy định của pháp luật;</w:t>
      </w:r>
    </w:p>
    <w:p w14:paraId="4EF5207D"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đ) Kinh doanh gôn (golf);</w:t>
      </w:r>
    </w:p>
    <w:p w14:paraId="2CEC3673" w14:textId="77777777" w:rsidR="00BA7C91" w:rsidRPr="00D629D6" w:rsidRDefault="00BA7C91" w:rsidP="00D629D6">
      <w:pPr>
        <w:pStyle w:val="NormalWeb"/>
        <w:spacing w:before="120" w:beforeAutospacing="0" w:after="120" w:afterAutospacing="0" w:line="360" w:lineRule="auto"/>
        <w:jc w:val="both"/>
        <w:rPr>
          <w:i/>
          <w:iCs/>
          <w:color w:val="222222"/>
          <w:sz w:val="26"/>
          <w:szCs w:val="26"/>
        </w:rPr>
      </w:pPr>
      <w:r w:rsidRPr="00D629D6">
        <w:rPr>
          <w:i/>
          <w:iCs/>
          <w:color w:val="222222"/>
          <w:sz w:val="26"/>
          <w:szCs w:val="26"/>
        </w:rPr>
        <w:t>e) Kinh doanh xổ số.</w:t>
      </w:r>
    </w:p>
    <w:sectPr w:rsidR="00BA7C91" w:rsidRPr="00D629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81242"/>
    <w:multiLevelType w:val="multilevel"/>
    <w:tmpl w:val="2A90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465E4"/>
    <w:multiLevelType w:val="multilevel"/>
    <w:tmpl w:val="3E3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A1002"/>
    <w:multiLevelType w:val="multilevel"/>
    <w:tmpl w:val="849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193535">
    <w:abstractNumId w:val="2"/>
  </w:num>
  <w:num w:numId="2" w16cid:durableId="361170629">
    <w:abstractNumId w:val="1"/>
  </w:num>
  <w:num w:numId="3" w16cid:durableId="167727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91"/>
    <w:rsid w:val="003A63AD"/>
    <w:rsid w:val="00BA7C91"/>
    <w:rsid w:val="00D629D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0E126DC"/>
  <w15:chartTrackingRefBased/>
  <w15:docId w15:val="{8CC5972F-ACD4-6A42-81E3-6A2B865F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C9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7C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7C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A7C91"/>
    <w:rPr>
      <w:color w:val="0000FF"/>
      <w:u w:val="single"/>
    </w:rPr>
  </w:style>
  <w:style w:type="character" w:customStyle="1" w:styleId="apple-converted-space">
    <w:name w:val="apple-converted-space"/>
    <w:basedOn w:val="DefaultParagraphFont"/>
    <w:rsid w:val="00BA7C91"/>
  </w:style>
  <w:style w:type="character" w:styleId="Strong">
    <w:name w:val="Strong"/>
    <w:basedOn w:val="DefaultParagraphFont"/>
    <w:uiPriority w:val="22"/>
    <w:qFormat/>
    <w:rsid w:val="00BA7C91"/>
    <w:rPr>
      <w:b/>
      <w:bCs/>
    </w:rPr>
  </w:style>
  <w:style w:type="paragraph" w:styleId="NormalWeb">
    <w:name w:val="Normal (Web)"/>
    <w:basedOn w:val="Normal"/>
    <w:uiPriority w:val="99"/>
    <w:unhideWhenUsed/>
    <w:rsid w:val="00BA7C9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BA7C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A7C9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BA7C91"/>
    <w:rPr>
      <w:i/>
      <w:iCs/>
    </w:rPr>
  </w:style>
  <w:style w:type="character" w:customStyle="1" w:styleId="color-red">
    <w:name w:val="color-red"/>
    <w:basedOn w:val="DefaultParagraphFont"/>
    <w:rsid w:val="00BA7C91"/>
  </w:style>
  <w:style w:type="character" w:customStyle="1" w:styleId="text-consultation1">
    <w:name w:val="text-consultation1"/>
    <w:basedOn w:val="DefaultParagraphFont"/>
    <w:rsid w:val="00BA7C91"/>
  </w:style>
  <w:style w:type="character" w:customStyle="1" w:styleId="btn-consultation">
    <w:name w:val="btn-consultation"/>
    <w:basedOn w:val="DefaultParagraphFont"/>
    <w:rsid w:val="00BA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9560">
      <w:bodyDiv w:val="1"/>
      <w:marLeft w:val="0"/>
      <w:marRight w:val="0"/>
      <w:marTop w:val="0"/>
      <w:marBottom w:val="0"/>
      <w:divBdr>
        <w:top w:val="none" w:sz="0" w:space="0" w:color="auto"/>
        <w:left w:val="none" w:sz="0" w:space="0" w:color="auto"/>
        <w:bottom w:val="none" w:sz="0" w:space="0" w:color="auto"/>
        <w:right w:val="none" w:sz="0" w:space="0" w:color="auto"/>
      </w:divBdr>
    </w:div>
    <w:div w:id="935751211">
      <w:bodyDiv w:val="1"/>
      <w:marLeft w:val="0"/>
      <w:marRight w:val="0"/>
      <w:marTop w:val="0"/>
      <w:marBottom w:val="0"/>
      <w:divBdr>
        <w:top w:val="none" w:sz="0" w:space="0" w:color="auto"/>
        <w:left w:val="none" w:sz="0" w:space="0" w:color="auto"/>
        <w:bottom w:val="none" w:sz="0" w:space="0" w:color="auto"/>
        <w:right w:val="none" w:sz="0" w:space="0" w:color="auto"/>
      </w:divBdr>
    </w:div>
    <w:div w:id="1001128482">
      <w:bodyDiv w:val="1"/>
      <w:marLeft w:val="0"/>
      <w:marRight w:val="0"/>
      <w:marTop w:val="0"/>
      <w:marBottom w:val="0"/>
      <w:divBdr>
        <w:top w:val="none" w:sz="0" w:space="0" w:color="auto"/>
        <w:left w:val="none" w:sz="0" w:space="0" w:color="auto"/>
        <w:bottom w:val="none" w:sz="0" w:space="0" w:color="auto"/>
        <w:right w:val="none" w:sz="0" w:space="0" w:color="auto"/>
      </w:divBdr>
      <w:divsChild>
        <w:div w:id="689141951">
          <w:blockQuote w:val="1"/>
          <w:marLeft w:val="420"/>
          <w:marRight w:val="0"/>
          <w:marTop w:val="0"/>
          <w:marBottom w:val="0"/>
          <w:divBdr>
            <w:top w:val="none" w:sz="0" w:space="0" w:color="auto"/>
            <w:left w:val="single" w:sz="18" w:space="12" w:color="CCCCCC"/>
            <w:bottom w:val="none" w:sz="0" w:space="0" w:color="auto"/>
            <w:right w:val="none" w:sz="0" w:space="0" w:color="auto"/>
          </w:divBdr>
        </w:div>
        <w:div w:id="514266161">
          <w:marLeft w:val="0"/>
          <w:marRight w:val="0"/>
          <w:marTop w:val="0"/>
          <w:marBottom w:val="0"/>
          <w:divBdr>
            <w:top w:val="none" w:sz="0" w:space="0" w:color="auto"/>
            <w:left w:val="none" w:sz="0" w:space="0" w:color="auto"/>
            <w:bottom w:val="none" w:sz="0" w:space="0" w:color="auto"/>
            <w:right w:val="none" w:sz="0" w:space="0" w:color="auto"/>
          </w:divBdr>
          <w:divsChild>
            <w:div w:id="1448231081">
              <w:marLeft w:val="0"/>
              <w:marRight w:val="0"/>
              <w:marTop w:val="0"/>
              <w:marBottom w:val="0"/>
              <w:divBdr>
                <w:top w:val="none" w:sz="0" w:space="0" w:color="auto"/>
                <w:left w:val="none" w:sz="0" w:space="0" w:color="auto"/>
                <w:bottom w:val="none" w:sz="0" w:space="0" w:color="auto"/>
                <w:right w:val="none" w:sz="0" w:space="0" w:color="auto"/>
              </w:divBdr>
              <w:divsChild>
                <w:div w:id="977957998">
                  <w:marLeft w:val="0"/>
                  <w:marRight w:val="0"/>
                  <w:marTop w:val="0"/>
                  <w:marBottom w:val="0"/>
                  <w:divBdr>
                    <w:top w:val="none" w:sz="0" w:space="0" w:color="auto"/>
                    <w:left w:val="none" w:sz="0" w:space="0" w:color="auto"/>
                    <w:bottom w:val="none" w:sz="0" w:space="0" w:color="auto"/>
                    <w:right w:val="none" w:sz="0" w:space="0" w:color="auto"/>
                  </w:divBdr>
                  <w:divsChild>
                    <w:div w:id="588468461">
                      <w:marLeft w:val="0"/>
                      <w:marRight w:val="0"/>
                      <w:marTop w:val="0"/>
                      <w:marBottom w:val="0"/>
                      <w:divBdr>
                        <w:top w:val="none" w:sz="0" w:space="0" w:color="auto"/>
                        <w:left w:val="none" w:sz="0" w:space="0" w:color="auto"/>
                        <w:bottom w:val="none" w:sz="0" w:space="0" w:color="auto"/>
                        <w:right w:val="none" w:sz="0" w:space="0" w:color="auto"/>
                      </w:divBdr>
                      <w:divsChild>
                        <w:div w:id="1381050071">
                          <w:marLeft w:val="0"/>
                          <w:marRight w:val="0"/>
                          <w:marTop w:val="0"/>
                          <w:marBottom w:val="0"/>
                          <w:divBdr>
                            <w:top w:val="none" w:sz="0" w:space="0" w:color="auto"/>
                            <w:left w:val="none" w:sz="0" w:space="0" w:color="auto"/>
                            <w:bottom w:val="none" w:sz="0" w:space="0" w:color="auto"/>
                            <w:right w:val="none" w:sz="0" w:space="0" w:color="auto"/>
                          </w:divBdr>
                          <w:divsChild>
                            <w:div w:id="431516129">
                              <w:marLeft w:val="0"/>
                              <w:marRight w:val="0"/>
                              <w:marTop w:val="0"/>
                              <w:marBottom w:val="0"/>
                              <w:divBdr>
                                <w:top w:val="none" w:sz="0" w:space="0" w:color="auto"/>
                                <w:left w:val="none" w:sz="0" w:space="0" w:color="auto"/>
                                <w:bottom w:val="none" w:sz="0" w:space="0" w:color="auto"/>
                                <w:right w:val="none" w:sz="0" w:space="0" w:color="auto"/>
                              </w:divBdr>
                              <w:divsChild>
                                <w:div w:id="920413185">
                                  <w:marLeft w:val="0"/>
                                  <w:marRight w:val="0"/>
                                  <w:marTop w:val="0"/>
                                  <w:marBottom w:val="0"/>
                                  <w:divBdr>
                                    <w:top w:val="none" w:sz="0" w:space="0" w:color="auto"/>
                                    <w:left w:val="none" w:sz="0" w:space="0" w:color="auto"/>
                                    <w:bottom w:val="none" w:sz="0" w:space="0" w:color="auto"/>
                                    <w:right w:val="none" w:sz="0" w:space="0" w:color="auto"/>
                                  </w:divBdr>
                                </w:div>
                              </w:divsChild>
                            </w:div>
                            <w:div w:id="539782127">
                              <w:marLeft w:val="0"/>
                              <w:marRight w:val="0"/>
                              <w:marTop w:val="0"/>
                              <w:marBottom w:val="0"/>
                              <w:divBdr>
                                <w:top w:val="none" w:sz="0" w:space="0" w:color="auto"/>
                                <w:left w:val="none" w:sz="0" w:space="0" w:color="auto"/>
                                <w:bottom w:val="none" w:sz="0" w:space="0" w:color="auto"/>
                                <w:right w:val="none" w:sz="0" w:space="0" w:color="auto"/>
                              </w:divBdr>
                              <w:divsChild>
                                <w:div w:id="13650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1180">
                      <w:marLeft w:val="0"/>
                      <w:marRight w:val="0"/>
                      <w:marTop w:val="0"/>
                      <w:marBottom w:val="450"/>
                      <w:divBdr>
                        <w:top w:val="none" w:sz="0" w:space="0" w:color="auto"/>
                        <w:left w:val="none" w:sz="0" w:space="0" w:color="auto"/>
                        <w:bottom w:val="none" w:sz="0" w:space="0" w:color="auto"/>
                        <w:right w:val="none" w:sz="0" w:space="0" w:color="auto"/>
                      </w:divBdr>
                      <w:divsChild>
                        <w:div w:id="86007186">
                          <w:marLeft w:val="0"/>
                          <w:marRight w:val="0"/>
                          <w:marTop w:val="0"/>
                          <w:marBottom w:val="0"/>
                          <w:divBdr>
                            <w:top w:val="dashed" w:sz="6" w:space="0" w:color="FDC689"/>
                            <w:left w:val="dashed" w:sz="6" w:space="0" w:color="FDC689"/>
                            <w:bottom w:val="dashed" w:sz="6" w:space="0" w:color="FDC689"/>
                            <w:right w:val="dashed" w:sz="6" w:space="0" w:color="FDC689"/>
                          </w:divBdr>
                          <w:divsChild>
                            <w:div w:id="913709104">
                              <w:marLeft w:val="0"/>
                              <w:marRight w:val="0"/>
                              <w:marTop w:val="0"/>
                              <w:marBottom w:val="0"/>
                              <w:divBdr>
                                <w:top w:val="none" w:sz="0" w:space="0" w:color="auto"/>
                                <w:left w:val="none" w:sz="0" w:space="0" w:color="auto"/>
                                <w:bottom w:val="none" w:sz="0" w:space="0" w:color="auto"/>
                                <w:right w:val="dashed" w:sz="6" w:space="12" w:color="FDC689"/>
                              </w:divBdr>
                            </w:div>
                            <w:div w:id="2144156803">
                              <w:marLeft w:val="0"/>
                              <w:marRight w:val="0"/>
                              <w:marTop w:val="0"/>
                              <w:marBottom w:val="0"/>
                              <w:divBdr>
                                <w:top w:val="none" w:sz="0" w:space="0" w:color="auto"/>
                                <w:left w:val="none" w:sz="0" w:space="0" w:color="auto"/>
                                <w:bottom w:val="none" w:sz="0" w:space="0" w:color="auto"/>
                                <w:right w:val="dashed" w:sz="6" w:space="12" w:color="FDC689"/>
                              </w:divBdr>
                            </w:div>
                          </w:divsChild>
                        </w:div>
                      </w:divsChild>
                    </w:div>
                    <w:div w:id="1389066792">
                      <w:marLeft w:val="0"/>
                      <w:marRight w:val="0"/>
                      <w:marTop w:val="0"/>
                      <w:marBottom w:val="360"/>
                      <w:divBdr>
                        <w:top w:val="none" w:sz="0" w:space="0" w:color="auto"/>
                        <w:left w:val="none" w:sz="0" w:space="0" w:color="auto"/>
                        <w:bottom w:val="none" w:sz="0" w:space="0" w:color="auto"/>
                        <w:right w:val="none" w:sz="0" w:space="0" w:color="auto"/>
                      </w:divBdr>
                      <w:divsChild>
                        <w:div w:id="1791774978">
                          <w:marLeft w:val="0"/>
                          <w:marRight w:val="120"/>
                          <w:marTop w:val="0"/>
                          <w:marBottom w:val="0"/>
                          <w:divBdr>
                            <w:top w:val="none" w:sz="0" w:space="0" w:color="auto"/>
                            <w:left w:val="none" w:sz="0" w:space="0" w:color="auto"/>
                            <w:bottom w:val="none" w:sz="0" w:space="0" w:color="auto"/>
                            <w:right w:val="none" w:sz="0" w:space="0" w:color="auto"/>
                          </w:divBdr>
                        </w:div>
                      </w:divsChild>
                    </w:div>
                    <w:div w:id="9334483">
                      <w:marLeft w:val="0"/>
                      <w:marRight w:val="0"/>
                      <w:marTop w:val="0"/>
                      <w:marBottom w:val="0"/>
                      <w:divBdr>
                        <w:top w:val="none" w:sz="0" w:space="0" w:color="auto"/>
                        <w:left w:val="none" w:sz="0" w:space="0" w:color="auto"/>
                        <w:bottom w:val="none" w:sz="0" w:space="0" w:color="auto"/>
                        <w:right w:val="none" w:sz="0" w:space="0" w:color="auto"/>
                      </w:divBdr>
                      <w:divsChild>
                        <w:div w:id="649674896">
                          <w:marLeft w:val="0"/>
                          <w:marRight w:val="0"/>
                          <w:marTop w:val="0"/>
                          <w:marBottom w:val="0"/>
                          <w:divBdr>
                            <w:top w:val="single" w:sz="6" w:space="6" w:color="E6E6E6"/>
                            <w:left w:val="single" w:sz="6" w:space="12" w:color="E6E6E6"/>
                            <w:bottom w:val="single" w:sz="6" w:space="6" w:color="E6E6E6"/>
                            <w:right w:val="single" w:sz="6" w:space="12" w:color="E6E6E6"/>
                          </w:divBdr>
                          <w:divsChild>
                            <w:div w:id="163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83550">
                      <w:marLeft w:val="0"/>
                      <w:marRight w:val="0"/>
                      <w:marTop w:val="0"/>
                      <w:marBottom w:val="0"/>
                      <w:divBdr>
                        <w:top w:val="none" w:sz="0" w:space="0" w:color="auto"/>
                        <w:left w:val="none" w:sz="0" w:space="0" w:color="auto"/>
                        <w:bottom w:val="none" w:sz="0" w:space="0" w:color="auto"/>
                        <w:right w:val="none" w:sz="0" w:space="0" w:color="auto"/>
                      </w:divBdr>
                    </w:div>
                    <w:div w:id="2015182627">
                      <w:marLeft w:val="0"/>
                      <w:marRight w:val="0"/>
                      <w:marTop w:val="0"/>
                      <w:marBottom w:val="120"/>
                      <w:divBdr>
                        <w:top w:val="none" w:sz="0" w:space="0" w:color="auto"/>
                        <w:left w:val="none" w:sz="0" w:space="0" w:color="auto"/>
                        <w:bottom w:val="none" w:sz="0" w:space="0" w:color="auto"/>
                        <w:right w:val="none" w:sz="0" w:space="0" w:color="auto"/>
                      </w:divBdr>
                      <w:divsChild>
                        <w:div w:id="182480920">
                          <w:marLeft w:val="0"/>
                          <w:marRight w:val="0"/>
                          <w:marTop w:val="0"/>
                          <w:marBottom w:val="0"/>
                          <w:divBdr>
                            <w:top w:val="none" w:sz="0" w:space="0" w:color="auto"/>
                            <w:left w:val="none" w:sz="0" w:space="0" w:color="auto"/>
                            <w:bottom w:val="none" w:sz="0" w:space="0" w:color="auto"/>
                            <w:right w:val="none" w:sz="0" w:space="0" w:color="auto"/>
                          </w:divBdr>
                          <w:divsChild>
                            <w:div w:id="170488086">
                              <w:marLeft w:val="0"/>
                              <w:marRight w:val="0"/>
                              <w:marTop w:val="0"/>
                              <w:marBottom w:val="240"/>
                              <w:divBdr>
                                <w:top w:val="single" w:sz="12" w:space="9" w:color="D72027"/>
                                <w:left w:val="single" w:sz="6" w:space="9" w:color="E6E6E6"/>
                                <w:bottom w:val="single" w:sz="6" w:space="9" w:color="E6E6E6"/>
                                <w:right w:val="single" w:sz="6" w:space="9" w:color="E6E6E6"/>
                              </w:divBdr>
                              <w:divsChild>
                                <w:div w:id="193806055">
                                  <w:marLeft w:val="0"/>
                                  <w:marRight w:val="0"/>
                                  <w:marTop w:val="0"/>
                                  <w:marBottom w:val="0"/>
                                  <w:divBdr>
                                    <w:top w:val="none" w:sz="0" w:space="0" w:color="auto"/>
                                    <w:left w:val="none" w:sz="0" w:space="0" w:color="auto"/>
                                    <w:bottom w:val="none" w:sz="0" w:space="0" w:color="auto"/>
                                    <w:right w:val="none" w:sz="0" w:space="0" w:color="auto"/>
                                  </w:divBdr>
                                </w:div>
                                <w:div w:id="514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268372">
      <w:bodyDiv w:val="1"/>
      <w:marLeft w:val="0"/>
      <w:marRight w:val="0"/>
      <w:marTop w:val="0"/>
      <w:marBottom w:val="0"/>
      <w:divBdr>
        <w:top w:val="none" w:sz="0" w:space="0" w:color="auto"/>
        <w:left w:val="none" w:sz="0" w:space="0" w:color="auto"/>
        <w:bottom w:val="none" w:sz="0" w:space="0" w:color="auto"/>
        <w:right w:val="none" w:sz="0" w:space="0" w:color="auto"/>
      </w:divBdr>
      <w:divsChild>
        <w:div w:id="2069527916">
          <w:marLeft w:val="0"/>
          <w:marRight w:val="0"/>
          <w:marTop w:val="0"/>
          <w:marBottom w:val="0"/>
          <w:divBdr>
            <w:top w:val="none" w:sz="0" w:space="0" w:color="auto"/>
            <w:left w:val="none" w:sz="0" w:space="0" w:color="auto"/>
            <w:bottom w:val="none" w:sz="0" w:space="0" w:color="auto"/>
            <w:right w:val="none" w:sz="0" w:space="0" w:color="auto"/>
          </w:divBdr>
          <w:divsChild>
            <w:div w:id="219051779">
              <w:marLeft w:val="0"/>
              <w:marRight w:val="240"/>
              <w:marTop w:val="0"/>
              <w:marBottom w:val="0"/>
              <w:divBdr>
                <w:top w:val="none" w:sz="0" w:space="0" w:color="auto"/>
                <w:left w:val="none" w:sz="0" w:space="0" w:color="auto"/>
                <w:bottom w:val="none" w:sz="0" w:space="0" w:color="auto"/>
                <w:right w:val="none" w:sz="0" w:space="0" w:color="auto"/>
              </w:divBdr>
              <w:divsChild>
                <w:div w:id="1583029974">
                  <w:marLeft w:val="0"/>
                  <w:marRight w:val="0"/>
                  <w:marTop w:val="0"/>
                  <w:marBottom w:val="0"/>
                  <w:divBdr>
                    <w:top w:val="none" w:sz="0" w:space="0" w:color="auto"/>
                    <w:left w:val="none" w:sz="0" w:space="0" w:color="auto"/>
                    <w:bottom w:val="none" w:sz="0" w:space="0" w:color="auto"/>
                    <w:right w:val="none" w:sz="0" w:space="0" w:color="auto"/>
                  </w:divBdr>
                  <w:divsChild>
                    <w:div w:id="710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3056">
              <w:marLeft w:val="0"/>
              <w:marRight w:val="0"/>
              <w:marTop w:val="0"/>
              <w:marBottom w:val="0"/>
              <w:divBdr>
                <w:top w:val="none" w:sz="0" w:space="0" w:color="auto"/>
                <w:left w:val="none" w:sz="0" w:space="0" w:color="auto"/>
                <w:bottom w:val="none" w:sz="0" w:space="0" w:color="auto"/>
                <w:right w:val="none" w:sz="0" w:space="0" w:color="auto"/>
              </w:divBdr>
              <w:divsChild>
                <w:div w:id="245848304">
                  <w:marLeft w:val="0"/>
                  <w:marRight w:val="0"/>
                  <w:marTop w:val="0"/>
                  <w:marBottom w:val="0"/>
                  <w:divBdr>
                    <w:top w:val="none" w:sz="0" w:space="0" w:color="auto"/>
                    <w:left w:val="none" w:sz="0" w:space="0" w:color="auto"/>
                    <w:bottom w:val="none" w:sz="0" w:space="0" w:color="auto"/>
                    <w:right w:val="none" w:sz="0" w:space="0" w:color="auto"/>
                  </w:divBdr>
                  <w:divsChild>
                    <w:div w:id="14076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4792">
          <w:marLeft w:val="0"/>
          <w:marRight w:val="0"/>
          <w:marTop w:val="0"/>
          <w:marBottom w:val="240"/>
          <w:divBdr>
            <w:top w:val="none" w:sz="0" w:space="0" w:color="auto"/>
            <w:left w:val="none" w:sz="0" w:space="0" w:color="auto"/>
            <w:bottom w:val="none" w:sz="0" w:space="0" w:color="auto"/>
            <w:right w:val="none" w:sz="0" w:space="0" w:color="auto"/>
          </w:divBdr>
          <w:divsChild>
            <w:div w:id="13142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1391030047">
          <w:marLeft w:val="0"/>
          <w:marRight w:val="0"/>
          <w:marTop w:val="0"/>
          <w:marBottom w:val="0"/>
          <w:divBdr>
            <w:top w:val="none" w:sz="0" w:space="0" w:color="auto"/>
            <w:left w:val="none" w:sz="0" w:space="0" w:color="auto"/>
            <w:bottom w:val="none" w:sz="0" w:space="0" w:color="auto"/>
            <w:right w:val="none" w:sz="0" w:space="0" w:color="auto"/>
          </w:divBdr>
          <w:divsChild>
            <w:div w:id="1384060982">
              <w:marLeft w:val="0"/>
              <w:marRight w:val="0"/>
              <w:marTop w:val="0"/>
              <w:marBottom w:val="0"/>
              <w:divBdr>
                <w:top w:val="none" w:sz="0" w:space="0" w:color="auto"/>
                <w:left w:val="none" w:sz="0" w:space="0" w:color="auto"/>
                <w:bottom w:val="none" w:sz="0" w:space="0" w:color="auto"/>
                <w:right w:val="none" w:sz="0" w:space="0" w:color="auto"/>
              </w:divBdr>
            </w:div>
          </w:divsChild>
        </w:div>
        <w:div w:id="1601840068">
          <w:marLeft w:val="0"/>
          <w:marRight w:val="0"/>
          <w:marTop w:val="0"/>
          <w:marBottom w:val="0"/>
          <w:divBdr>
            <w:top w:val="none" w:sz="0" w:space="0" w:color="auto"/>
            <w:left w:val="none" w:sz="0" w:space="0" w:color="auto"/>
            <w:bottom w:val="none" w:sz="0" w:space="0" w:color="auto"/>
            <w:right w:val="none" w:sz="0" w:space="0" w:color="auto"/>
          </w:divBdr>
          <w:divsChild>
            <w:div w:id="14203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2289">
      <w:bodyDiv w:val="1"/>
      <w:marLeft w:val="0"/>
      <w:marRight w:val="0"/>
      <w:marTop w:val="0"/>
      <w:marBottom w:val="0"/>
      <w:divBdr>
        <w:top w:val="none" w:sz="0" w:space="0" w:color="auto"/>
        <w:left w:val="none" w:sz="0" w:space="0" w:color="auto"/>
        <w:bottom w:val="none" w:sz="0" w:space="0" w:color="auto"/>
        <w:right w:val="none" w:sz="0" w:space="0" w:color="auto"/>
      </w:divBdr>
    </w:div>
    <w:div w:id="20287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thue/luat-thue-tieu-thu-dac-biet-2025-so-66-2025-qh15-405694-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2025-11-27T00:37:00Z</dcterms:created>
  <dcterms:modified xsi:type="dcterms:W3CDTF">2025-11-27T00:52:00Z</dcterms:modified>
</cp:coreProperties>
</file>