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73E0" w:rsidRDefault="007F73E0" w:rsidP="007F73E0">
      <w:pPr>
        <w:spacing w:after="240" w:line="630" w:lineRule="atLeast"/>
        <w:jc w:val="center"/>
        <w:outlineLvl w:val="0"/>
        <w:rPr>
          <w:rFonts w:ascii="Times New Roman" w:eastAsia="Times New Roman" w:hAnsi="Times New Roman" w:cs="Times New Roman"/>
          <w:b/>
          <w:bCs/>
          <w:color w:val="031739"/>
          <w:kern w:val="36"/>
          <w:sz w:val="26"/>
          <w:szCs w:val="26"/>
          <w:lang w:val="vi-VN"/>
          <w14:ligatures w14:val="none"/>
        </w:rPr>
      </w:pPr>
      <w:r>
        <w:rPr>
          <w:rFonts w:ascii="Times New Roman" w:eastAsia="Times New Roman" w:hAnsi="Times New Roman" w:cs="Times New Roman"/>
          <w:b/>
          <w:bCs/>
          <w:color w:val="031739"/>
          <w:kern w:val="36"/>
          <w:sz w:val="26"/>
          <w:szCs w:val="26"/>
          <w14:ligatures w14:val="none"/>
        </w:rPr>
        <w:t>NHỮNG</w:t>
      </w:r>
      <w:r>
        <w:rPr>
          <w:rFonts w:ascii="Times New Roman" w:eastAsia="Times New Roman" w:hAnsi="Times New Roman" w:cs="Times New Roman"/>
          <w:b/>
          <w:bCs/>
          <w:color w:val="031739"/>
          <w:kern w:val="36"/>
          <w:sz w:val="26"/>
          <w:szCs w:val="26"/>
          <w:lang w:val="vi-VN"/>
          <w14:ligatures w14:val="none"/>
        </w:rPr>
        <w:t xml:space="preserve"> ĐIỂM MỚI TRONG QUY ĐỊNH XỬ PHẠT VỀ THUẾ, HOÁ ĐƠN</w:t>
      </w:r>
    </w:p>
    <w:p w:rsidR="007F73E0" w:rsidRPr="007F73E0" w:rsidRDefault="007F73E0" w:rsidP="007F73E0">
      <w:pPr>
        <w:spacing w:after="120" w:line="420" w:lineRule="atLeast"/>
        <w:jc w:val="both"/>
        <w:outlineLvl w:val="1"/>
        <w:rPr>
          <w:rFonts w:ascii="Times New Roman" w:eastAsia="Times New Roman" w:hAnsi="Times New Roman" w:cs="Times New Roman"/>
          <w:b/>
          <w:bCs/>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Nghị định 310/2025/NĐ-CP có hiệu lực từ 16/01/2026 đã bổ sung một số điểm mới trong xử phạt hành chính về thuế, hóa đơn như: mở rộng và làm rõ khái niệm vi phạm hành chính về thuế; bổ sung các trường hợp bất khả kháng trong xử phạt; làm rõ đối tượng bị xử phạt;...</w:t>
      </w:r>
    </w:p>
    <w:p w:rsidR="007F73E0" w:rsidRPr="007F73E0" w:rsidRDefault="007F73E0" w:rsidP="007F73E0">
      <w:pPr>
        <w:spacing w:line="390" w:lineRule="atLeast"/>
        <w:jc w:val="both"/>
        <w:outlineLvl w:val="1"/>
        <w:rPr>
          <w:rFonts w:ascii="Times New Roman" w:eastAsia="Times New Roman" w:hAnsi="Times New Roman" w:cs="Times New Roman"/>
          <w:b/>
          <w:bCs/>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Mở rộng và làm rõ khái niệm vi phạm hành chính về thuế</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Một trong những nội dung nổi bật của Nghị định số 310/2025/NĐ-CP là sửa đổi, bổ sung khoản 1 Điều 2 Nghị định số</w:t>
      </w:r>
      <w:r w:rsidRPr="007F73E0">
        <w:rPr>
          <w:rFonts w:ascii="Times New Roman" w:eastAsia="Times New Roman" w:hAnsi="Times New Roman" w:cs="Times New Roman"/>
          <w:color w:val="152C4A"/>
          <w:kern w:val="0"/>
          <w:sz w:val="26"/>
          <w:szCs w:val="26"/>
          <w:lang w:val="vi-VN"/>
          <w14:ligatures w14:val="none"/>
        </w:rPr>
        <w:t xml:space="preserve"> 125/2020/NĐ-CP </w:t>
      </w:r>
      <w:r w:rsidRPr="007F73E0">
        <w:rPr>
          <w:rFonts w:ascii="Times New Roman" w:eastAsia="Times New Roman" w:hAnsi="Times New Roman" w:cs="Times New Roman"/>
          <w:color w:val="152C4A"/>
          <w:kern w:val="0"/>
          <w:sz w:val="26"/>
          <w:szCs w:val="26"/>
          <w14:ligatures w14:val="none"/>
        </w:rPr>
        <w:t>theo hướng </w:t>
      </w:r>
      <w:r w:rsidRPr="007F73E0">
        <w:rPr>
          <w:rFonts w:ascii="Times New Roman" w:eastAsia="Times New Roman" w:hAnsi="Times New Roman" w:cs="Times New Roman"/>
          <w:b/>
          <w:bCs/>
          <w:i/>
          <w:iCs/>
          <w:color w:val="152C4A"/>
          <w:kern w:val="0"/>
          <w:sz w:val="26"/>
          <w:szCs w:val="26"/>
          <w14:ligatures w14:val="none"/>
        </w:rPr>
        <w:t>mở rộng và làm rõ khái niệm vi phạm hành chính về thuế</w:t>
      </w:r>
      <w:r w:rsidRPr="007F73E0">
        <w:rPr>
          <w:rFonts w:ascii="Times New Roman" w:eastAsia="Times New Roman" w:hAnsi="Times New Roman" w:cs="Times New Roman"/>
          <w:color w:val="152C4A"/>
          <w:kern w:val="0"/>
          <w:sz w:val="26"/>
          <w:szCs w:val="26"/>
          <w14:ligatures w14:val="none"/>
        </w:rPr>
        <w:t>.</w:t>
      </w:r>
    </w:p>
    <w:p w:rsidR="007F73E0" w:rsidRPr="007F73E0" w:rsidRDefault="007F73E0" w:rsidP="007F73E0">
      <w:pPr>
        <w:spacing w:before="120" w:after="120"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Theo đó, vi phạm hành chính về thuế là hành vi có lỗi do tổ chức, cá nhân thực hiện vi phạm quy định của pháp luật về quản lý thuế, pháp luật về thuế và các khoản thu khác thuộc ngân sách nhà nước do cơ quan quản lý thuế quản lý thu (tiền sử dụng đất; tiền thuê đất, thuê mặt nước; tiền cấp quyền khai thác khoáng sản; tiền cấp quyền khai thác tài nguyên nước;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 các khoản thu theo quy định pháp luật về quản lý và đầu tư vốn nhà nước tại doanh nghiệp) mà không phải là tội phạm và theo quy định của pháp luật phải bị xử phạt vi phạm hành chính.</w:t>
      </w:r>
    </w:p>
    <w:p w:rsidR="007F73E0" w:rsidRPr="007F73E0" w:rsidRDefault="007F73E0" w:rsidP="007F73E0">
      <w:pPr>
        <w:spacing w:line="390" w:lineRule="atLeast"/>
        <w:jc w:val="both"/>
        <w:outlineLvl w:val="2"/>
        <w:rPr>
          <w:rFonts w:ascii="Times New Roman" w:eastAsia="Times New Roman" w:hAnsi="Times New Roman" w:cs="Times New Roman"/>
          <w:b/>
          <w:bCs/>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Bổ sung các trường hợp bất khả kháng trong xử phạt</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i/>
          <w:iCs/>
          <w:color w:val="152C4A"/>
          <w:kern w:val="0"/>
          <w:sz w:val="26"/>
          <w:szCs w:val="26"/>
          <w14:ligatures w14:val="none"/>
        </w:rPr>
        <w:t>Nghị định mới bổ sung quy định các trường hợp bất khả kháng trong xử phạt vi phạm hành chính về thuế, hóa đơn: </w:t>
      </w:r>
      <w:r w:rsidRPr="007F73E0">
        <w:rPr>
          <w:rFonts w:ascii="Times New Roman" w:eastAsia="Times New Roman" w:hAnsi="Times New Roman" w:cs="Times New Roman"/>
          <w:color w:val="152C4A"/>
          <w:kern w:val="0"/>
          <w:sz w:val="26"/>
          <w:szCs w:val="26"/>
          <w14:ligatures w14:val="none"/>
        </w:rPr>
        <w:t>Thiên tai, thảm họa, dịch bệnh, hỏa hoạn, tai nạn bất ngờ, chiến tranh, bạo loạn, đình công hoặc sự kiện xảy ra một cách khách quan không thể lường trước được và người nộp thuế không thể khắc phục được mặc dù đã áp dụng mọi biện pháp cần thiết và khả năng cho phép.</w:t>
      </w:r>
    </w:p>
    <w:p w:rsidR="007F73E0" w:rsidRPr="007F73E0" w:rsidRDefault="007F73E0" w:rsidP="007F73E0">
      <w:pPr>
        <w:spacing w:line="390" w:lineRule="atLeast"/>
        <w:jc w:val="both"/>
        <w:outlineLvl w:val="1"/>
        <w:rPr>
          <w:rFonts w:ascii="Times New Roman" w:eastAsia="Times New Roman" w:hAnsi="Times New Roman" w:cs="Times New Roman"/>
          <w:b/>
          <w:bCs/>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Làm rõ đối tượng bị xử phạt</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Nghị định số 310/2025/NĐ-CP cũng</w:t>
      </w:r>
      <w:r w:rsidRPr="007F73E0">
        <w:rPr>
          <w:rFonts w:ascii="Times New Roman" w:eastAsia="Times New Roman" w:hAnsi="Times New Roman" w:cs="Times New Roman"/>
          <w:b/>
          <w:bCs/>
          <w:i/>
          <w:iCs/>
          <w:color w:val="152C4A"/>
          <w:kern w:val="0"/>
          <w:sz w:val="26"/>
          <w:szCs w:val="26"/>
          <w14:ligatures w14:val="none"/>
        </w:rPr>
        <w:t> sửa đổi, bổ sung</w:t>
      </w:r>
      <w:r w:rsidRPr="007F73E0">
        <w:rPr>
          <w:rFonts w:ascii="Times New Roman" w:eastAsia="Times New Roman" w:hAnsi="Times New Roman" w:cs="Times New Roman"/>
          <w:color w:val="152C4A"/>
          <w:kern w:val="0"/>
          <w:sz w:val="26"/>
          <w:szCs w:val="26"/>
          <w14:ligatures w14:val="none"/>
        </w:rPr>
        <w:t> điểm a khoản 1 Điều 3 Nghị định số 125/2020/NĐ-CP </w:t>
      </w:r>
      <w:r w:rsidRPr="007F73E0">
        <w:rPr>
          <w:rFonts w:ascii="Times New Roman" w:eastAsia="Times New Roman" w:hAnsi="Times New Roman" w:cs="Times New Roman"/>
          <w:b/>
          <w:bCs/>
          <w:i/>
          <w:iCs/>
          <w:color w:val="152C4A"/>
          <w:kern w:val="0"/>
          <w:sz w:val="26"/>
          <w:szCs w:val="26"/>
          <w14:ligatures w14:val="none"/>
        </w:rPr>
        <w:t>quy định về đối tượng bị xử phạt vi phạm hành chính về thuế, hóa đơn</w:t>
      </w:r>
      <w:r w:rsidRPr="007F73E0">
        <w:rPr>
          <w:rFonts w:ascii="Times New Roman" w:eastAsia="Times New Roman" w:hAnsi="Times New Roman" w:cs="Times New Roman"/>
          <w:color w:val="152C4A"/>
          <w:kern w:val="0"/>
          <w:sz w:val="26"/>
          <w:szCs w:val="26"/>
          <w14:ligatures w14:val="none"/>
        </w:rPr>
        <w:t>. Theo quy định mới:</w:t>
      </w:r>
    </w:p>
    <w:p w:rsidR="007F73E0" w:rsidRPr="007F73E0" w:rsidRDefault="007F73E0" w:rsidP="007F73E0">
      <w:pPr>
        <w:spacing w:before="120" w:after="120"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 xml:space="preserve">Trường hợp người nộp thuế ủy quyền cho tổ chức, cá nhân khác thực hiện các nghĩa vụ về thuế mà pháp luật về thuế, quản lý thuế quy định nghĩa vụ, trách nhiệm của bên được ủy </w:t>
      </w:r>
      <w:r w:rsidRPr="007F73E0">
        <w:rPr>
          <w:rFonts w:ascii="Times New Roman" w:eastAsia="Times New Roman" w:hAnsi="Times New Roman" w:cs="Times New Roman"/>
          <w:color w:val="152C4A"/>
          <w:kern w:val="0"/>
          <w:sz w:val="26"/>
          <w:szCs w:val="26"/>
          <w14:ligatures w14:val="none"/>
        </w:rPr>
        <w:lastRenderedPageBreak/>
        <w:t>quyền phải thực hiện thay người nộp thuế thì nếu bên được ủy quyền có hành vi vi phạm hành chính quy định tại Nghị định này thì tổ chức, cá nhân được ủy quyền bị xử phạt theo Nghị định này.</w:t>
      </w:r>
    </w:p>
    <w:p w:rsidR="007F73E0" w:rsidRPr="007F73E0" w:rsidRDefault="007F73E0" w:rsidP="007F73E0">
      <w:pPr>
        <w:spacing w:before="120" w:after="120"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Trường hợp theo quy định của pháp luật về thuế và quản lý thuế, tổ chức, cá nhân có nghĩa vụ đăng ký thuế, khai, nộp thuế thay người nộp thuế mà tổ chức, cá nhân đăng ký thuế, khai, nộp thuế thay có hành vi vi phạm hành chính quy định tại Nghị định này thì tổ chức, cá nhân đăng ký thuế, khai, nộp thuế thay bị xử phạt vi phạm hành chính về thuế theo quy định tại Nghị định này.</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Trường hợp theo quy định chống xói mòn cơ sở thuế toàn cầu, đơn vị hợp thành chịu trách nhiệm kê khai có nghĩa vụ đăng ký thuế, nộp hồ sơ khai thuế và nộp thuế thu nhập doanh nghiệp bổ sung, đơn vị hợp thành được Tập đoàn giao trách nhiệm gửi thông báo đơn vị hợp thành chịu trách nhiệm kê khai và danh sách các đơn vị hợp thành thuộc đối tượng áp dụng Nghị quyết số 107/2023/QH15 có hành vi vi phạm hành chính tại Nghị định này thì bị xử phạt theo quy định tại Nghị định này.</w:t>
      </w:r>
    </w:p>
    <w:p w:rsidR="007F73E0" w:rsidRPr="007F73E0" w:rsidRDefault="007F73E0" w:rsidP="007F73E0">
      <w:pPr>
        <w:spacing w:line="390" w:lineRule="atLeast"/>
        <w:jc w:val="both"/>
        <w:outlineLvl w:val="2"/>
        <w:rPr>
          <w:rFonts w:ascii="Times New Roman" w:eastAsia="Times New Roman" w:hAnsi="Times New Roman" w:cs="Times New Roman"/>
          <w:b/>
          <w:bCs/>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Sửa đổi quy định về xử phạt vi phạm hành chính về thuế đối với tổ chức, cá nhân liên quan</w:t>
      </w:r>
    </w:p>
    <w:p w:rsidR="007F73E0" w:rsidRPr="007F73E0" w:rsidRDefault="007F73E0" w:rsidP="007F73E0">
      <w:pPr>
        <w:spacing w:before="120" w:after="120"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Nghị định số 310/2025/NĐ-CP sửa đổi Điều 19 Xử phạt vi phạm hành chính về thuế đối với tổ chức, cá nhân liên quan như sau:</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2.000.000 đồng đến 6.000.000 đồng</w:t>
      </w:r>
      <w:r w:rsidRPr="007F73E0">
        <w:rPr>
          <w:rFonts w:ascii="Times New Roman" w:eastAsia="Times New Roman" w:hAnsi="Times New Roman" w:cs="Times New Roman"/>
          <w:color w:val="152C4A"/>
          <w:kern w:val="0"/>
          <w:sz w:val="26"/>
          <w:szCs w:val="26"/>
          <w14:ligatures w14:val="none"/>
        </w:rPr>
        <w:t> đối với hành vi cung cấp thông tin, tài liệu liên quan đến xác định nghĩa vụ thuế, tài khoản của người nộp thuế theo quy định của pháp luật hoặc yêu cầu của cơ quan thuế quá thời hạn quy định từ 05 ngày trở lên.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6.000.000 đồng đến 10.000.000 đồng</w:t>
      </w:r>
      <w:r w:rsidRPr="007F73E0">
        <w:rPr>
          <w:rFonts w:ascii="Times New Roman" w:eastAsia="Times New Roman" w:hAnsi="Times New Roman" w:cs="Times New Roman"/>
          <w:color w:val="152C4A"/>
          <w:kern w:val="0"/>
          <w:sz w:val="26"/>
          <w:szCs w:val="26"/>
          <w14:ligatures w14:val="none"/>
        </w:rPr>
        <w:t> đối với một trong các hành vi sau đây:</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Thứ nhất</w:t>
      </w:r>
      <w:r w:rsidRPr="007F73E0">
        <w:rPr>
          <w:rFonts w:ascii="Times New Roman" w:eastAsia="Times New Roman" w:hAnsi="Times New Roman" w:cs="Times New Roman"/>
          <w:color w:val="152C4A"/>
          <w:kern w:val="0"/>
          <w:sz w:val="26"/>
          <w:szCs w:val="26"/>
          <w14:ligatures w14:val="none"/>
        </w:rPr>
        <w:t>, cung cấp không chính xác thông tin liên quan đến tài sản, quyền, nghĩa vụ về tài sản của người nộp thuế do mình nắm giữ; thông tin, tài liệu liên quan đến xác định nghĩa vụ thuế của người nộp thuế theo quy định của pháp luật hoặc theo yêu cầu của cơ quan thuế;</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Thứ hai</w:t>
      </w:r>
      <w:r w:rsidRPr="007F73E0">
        <w:rPr>
          <w:rFonts w:ascii="Times New Roman" w:eastAsia="Times New Roman" w:hAnsi="Times New Roman" w:cs="Times New Roman"/>
          <w:color w:val="152C4A"/>
          <w:kern w:val="0"/>
          <w:sz w:val="26"/>
          <w:szCs w:val="26"/>
          <w14:ligatures w14:val="none"/>
        </w:rPr>
        <w:t>, cung cấp không chính xác thông tin liên quan đến tài khoản của người nộp thuế tại tổ chức tín dụng, kho bạc nhà nước, chi nhánh ngân hàng nước ngoài theo quy định của pháp luật hoặc theo yêu cầu của cơ quan thuế;</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Thứ ba</w:t>
      </w:r>
      <w:r w:rsidRPr="007F73E0">
        <w:rPr>
          <w:rFonts w:ascii="Times New Roman" w:eastAsia="Times New Roman" w:hAnsi="Times New Roman" w:cs="Times New Roman"/>
          <w:color w:val="152C4A"/>
          <w:kern w:val="0"/>
          <w:sz w:val="26"/>
          <w:szCs w:val="26"/>
          <w14:ligatures w14:val="none"/>
        </w:rPr>
        <w:t>, ucng cấp không chính xác thông tin liên quan đến tiền lương, tiền công hoặc thu nhập của người nộp thuế do mình nắm giữ theo quy định của pháp luật hoặc theo yêu cầu của cơ quan thuế.</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lastRenderedPageBreak/>
        <w:t>Phạt tiền từ 10.000.000 đồng đến 16.000.000 đồng đối với một trong các hành vi sau đây:</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Một là</w:t>
      </w:r>
      <w:r w:rsidRPr="007F73E0">
        <w:rPr>
          <w:rFonts w:ascii="Times New Roman" w:eastAsia="Times New Roman" w:hAnsi="Times New Roman" w:cs="Times New Roman"/>
          <w:color w:val="152C4A"/>
          <w:kern w:val="0"/>
          <w:sz w:val="26"/>
          <w:szCs w:val="26"/>
          <w14:ligatures w14:val="none"/>
        </w:rPr>
        <w:t>, không cung cấp thông tin liên quan đến tài sản, quyền, nghĩa vụ về tài sản của người nộp thuế do mình nắm giữ; thông tin, tài liệu liên quan đến xác định nghĩa vụ thuế của người nộp thuế theo quy định của pháp luật hoặc theo yêu cầu của cơ quan thuế;</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Hai là</w:t>
      </w:r>
      <w:r w:rsidRPr="007F73E0">
        <w:rPr>
          <w:rFonts w:ascii="Times New Roman" w:eastAsia="Times New Roman" w:hAnsi="Times New Roman" w:cs="Times New Roman"/>
          <w:color w:val="152C4A"/>
          <w:kern w:val="0"/>
          <w:sz w:val="26"/>
          <w:szCs w:val="26"/>
          <w14:ligatures w14:val="none"/>
        </w:rPr>
        <w:t>, không cung cấp thông tin liên quan đến tài khoản của người nộp thuế tại tổ chức tín dụng, kho bạc nhà nước, chi nhánh ngân hàng nước ngoài theo quy định của pháp luật hoặc theo yêu cầu của cơ quan thuế;</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Ba là</w:t>
      </w:r>
      <w:r w:rsidRPr="007F73E0">
        <w:rPr>
          <w:rFonts w:ascii="Times New Roman" w:eastAsia="Times New Roman" w:hAnsi="Times New Roman" w:cs="Times New Roman"/>
          <w:color w:val="152C4A"/>
          <w:kern w:val="0"/>
          <w:sz w:val="26"/>
          <w:szCs w:val="26"/>
          <w14:ligatures w14:val="none"/>
        </w:rPr>
        <w:t>, không cung cấp thông tin liên quan đến tiền lương, tiền công hoặc thu nhập của người nộp thuế do mình nắm giữ theo quy định của pháp luật hoặc theo yêu cầu của cơ quan thuế;</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Bốn là</w:t>
      </w:r>
      <w:r w:rsidRPr="007F73E0">
        <w:rPr>
          <w:rFonts w:ascii="Times New Roman" w:eastAsia="Times New Roman" w:hAnsi="Times New Roman" w:cs="Times New Roman"/>
          <w:color w:val="152C4A"/>
          <w:kern w:val="0"/>
          <w:sz w:val="26"/>
          <w:szCs w:val="26"/>
          <w14:ligatures w14:val="none"/>
        </w:rPr>
        <w:t>, thông đồng, bao che người nộp thuế trốn thuế, không thực hiện quyết định cưỡng chế hành chính thuế, trừ hành vi không trích chuyển tiền từ tài khoản của người nộp thuế quy định tại Điều 18 Nghị định 125/2025/NĐ-CP.</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Theo quy định mới, </w:t>
      </w:r>
      <w:r w:rsidRPr="007F73E0">
        <w:rPr>
          <w:rFonts w:ascii="Times New Roman" w:eastAsia="Times New Roman" w:hAnsi="Times New Roman" w:cs="Times New Roman"/>
          <w:b/>
          <w:bCs/>
          <w:color w:val="152C4A"/>
          <w:kern w:val="0"/>
          <w:sz w:val="26"/>
          <w:szCs w:val="26"/>
          <w14:ligatures w14:val="none"/>
        </w:rPr>
        <w:t>hành vi cho, bán hóa đơn bị phạt tiền từ 20.000.000 đồng đến 50.000.000 đồng.</w:t>
      </w:r>
    </w:p>
    <w:p w:rsidR="007F73E0" w:rsidRPr="007F73E0" w:rsidRDefault="007F73E0" w:rsidP="007F73E0">
      <w:pPr>
        <w:spacing w:line="390" w:lineRule="atLeast"/>
        <w:jc w:val="both"/>
        <w:outlineLvl w:val="2"/>
        <w:rPr>
          <w:rFonts w:ascii="Times New Roman" w:eastAsia="Times New Roman" w:hAnsi="Times New Roman" w:cs="Times New Roman"/>
          <w:b/>
          <w:bCs/>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hành vi lập hóa đơn không đúng thời điểm</w:t>
      </w:r>
    </w:p>
    <w:p w:rsidR="007F73E0" w:rsidRPr="007F73E0" w:rsidRDefault="007F73E0" w:rsidP="007F73E0">
      <w:pPr>
        <w:spacing w:before="120" w:after="120"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Nghị định 310/2025/NĐ-CP sửa đổi, bổ sung khoản 2 Điều 24 quy định hành vi lập hóa đơn không đúng thời điểm theo quy định của pháp luật. Các mức phạt dao động từ cảnh cáo đến phạt 70 triệu đồng, tùy thuộc số lượng hóa đơn và loại giao dịch, cụ thể như sau:</w:t>
      </w:r>
    </w:p>
    <w:p w:rsidR="007F73E0" w:rsidRPr="007F73E0" w:rsidRDefault="007F73E0" w:rsidP="007F73E0">
      <w:pPr>
        <w:spacing w:before="120" w:after="120"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Phạt cảnh cáo đối với hành vi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01 số hóa đơn.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500.000 đồng đến 1.500.000 đồng</w:t>
      </w:r>
      <w:r w:rsidRPr="007F73E0">
        <w:rPr>
          <w:rFonts w:ascii="Times New Roman" w:eastAsia="Times New Roman" w:hAnsi="Times New Roman" w:cs="Times New Roman"/>
          <w:color w:val="152C4A"/>
          <w:kern w:val="0"/>
          <w:sz w:val="26"/>
          <w:szCs w:val="26"/>
          <w14:ligatures w14:val="none"/>
        </w:rPr>
        <w:t>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02 số hóa đơn đến dưới 10 số hóa đơn và trường hợp lập hóa đơn không đúng thời điểm khi bán hàng hóa, cung cấp dịch vụ 01 số hóa đơn.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lastRenderedPageBreak/>
        <w:t>Phạt tiền từ 2.000.000 đồng đến 5.000.000 đồng</w:t>
      </w:r>
      <w:r w:rsidRPr="007F73E0">
        <w:rPr>
          <w:rFonts w:ascii="Times New Roman" w:eastAsia="Times New Roman" w:hAnsi="Times New Roman" w:cs="Times New Roman"/>
          <w:color w:val="152C4A"/>
          <w:kern w:val="0"/>
          <w:sz w:val="26"/>
          <w:szCs w:val="26"/>
          <w14:ligatures w14:val="none"/>
        </w:rPr>
        <w:t>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 số hóa đơn đến dưới 50 số hóa đơn và trường hợp lập hóa đơn không đúng thời điểm khi bán hàng hóa, cung cấp dịch vụ từ 02 số hóa đơn đến dưới 10 số hóa đơn.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5.000.000 đồng đến 15.000.000 đồng</w:t>
      </w:r>
      <w:r w:rsidRPr="007F73E0">
        <w:rPr>
          <w:rFonts w:ascii="Times New Roman" w:eastAsia="Times New Roman" w:hAnsi="Times New Roman" w:cs="Times New Roman"/>
          <w:color w:val="152C4A"/>
          <w:kern w:val="0"/>
          <w:sz w:val="26"/>
          <w:szCs w:val="26"/>
          <w14:ligatures w14:val="none"/>
        </w:rPr>
        <w:t>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50 số hóa đơn đến dưới 100 số hóa đơn và trường hợp lập hóa đơn không đúng thời điểm khi bán hàng hóa, cung cấp dịch vụ từ 10 số hóa đơn đến dưới 20 số hóa đơn.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15.000.000 đồng đến 30.000.000 đồng</w:t>
      </w:r>
      <w:r w:rsidRPr="007F73E0">
        <w:rPr>
          <w:rFonts w:ascii="Times New Roman" w:eastAsia="Times New Roman" w:hAnsi="Times New Roman" w:cs="Times New Roman"/>
          <w:color w:val="152C4A"/>
          <w:kern w:val="0"/>
          <w:sz w:val="26"/>
          <w:szCs w:val="26"/>
          <w14:ligatures w14:val="none"/>
        </w:rPr>
        <w:t>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100 số hóa đơn trở lên và trường hợp lập hóa đơn không đúng thời điểm khi bán hàng hóa, cung cấp dịch vụ từ 20 số hóa đơn đến dưới 50 số hóa đơn.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30.000.000 đồng đến 50.000.000 đồng</w:t>
      </w:r>
      <w:r w:rsidRPr="007F73E0">
        <w:rPr>
          <w:rFonts w:ascii="Times New Roman" w:eastAsia="Times New Roman" w:hAnsi="Times New Roman" w:cs="Times New Roman"/>
          <w:color w:val="152C4A"/>
          <w:kern w:val="0"/>
          <w:sz w:val="26"/>
          <w:szCs w:val="26"/>
          <w14:ligatures w14:val="none"/>
        </w:rPr>
        <w:t> trong trường hợp lập hóa đơn không đúng thời điểm khi bán hàng hóa, cung cấp dịch vụ từ 50 số hóa đơn đến dưới 100 số hóa đơn.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50.000.000 đồng đến 70.000.000 đồng</w:t>
      </w:r>
      <w:r w:rsidRPr="007F73E0">
        <w:rPr>
          <w:rFonts w:ascii="Times New Roman" w:eastAsia="Times New Roman" w:hAnsi="Times New Roman" w:cs="Times New Roman"/>
          <w:color w:val="152C4A"/>
          <w:kern w:val="0"/>
          <w:sz w:val="26"/>
          <w:szCs w:val="26"/>
          <w14:ligatures w14:val="none"/>
        </w:rPr>
        <w:t> trong trường hợp lập hóa đơn không đúng thời điểm khi bán hàng hóa, cung cấp dịch vụ từ 100 số hóa đơn trở lên.</w:t>
      </w:r>
    </w:p>
    <w:p w:rsidR="007F73E0" w:rsidRPr="007F73E0" w:rsidRDefault="007F73E0" w:rsidP="007F73E0">
      <w:pPr>
        <w:spacing w:line="390" w:lineRule="atLeast"/>
        <w:jc w:val="both"/>
        <w:outlineLvl w:val="2"/>
        <w:rPr>
          <w:rFonts w:ascii="Times New Roman" w:eastAsia="Times New Roman" w:hAnsi="Times New Roman" w:cs="Times New Roman"/>
          <w:b/>
          <w:bCs/>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Xử phạt hành vi không lập hóa đơn theo quy định</w:t>
      </w:r>
    </w:p>
    <w:p w:rsidR="007F73E0" w:rsidRPr="007F73E0" w:rsidRDefault="007F73E0" w:rsidP="007F73E0">
      <w:pPr>
        <w:spacing w:before="120" w:after="120"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Các mức phạt đối với hành vi không lập hóa đơn được quy định chi tiết từ cảnh cáo đến phạt 80 triệu đồng tùy số lượng hóa đơn và mức độ vi phạm. Cụ thể như sau:</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cảnh cáo</w:t>
      </w:r>
      <w:r w:rsidRPr="007F73E0">
        <w:rPr>
          <w:rFonts w:ascii="Times New Roman" w:eastAsia="Times New Roman" w:hAnsi="Times New Roman" w:cs="Times New Roman"/>
          <w:color w:val="152C4A"/>
          <w:kern w:val="0"/>
          <w:sz w:val="26"/>
          <w:szCs w:val="26"/>
          <w14:ligatures w14:val="none"/>
        </w:rPr>
        <w:t xml:space="preserve"> đối với hành vi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w:t>
      </w:r>
      <w:r w:rsidRPr="007F73E0">
        <w:rPr>
          <w:rFonts w:ascii="Times New Roman" w:eastAsia="Times New Roman" w:hAnsi="Times New Roman" w:cs="Times New Roman"/>
          <w:color w:val="152C4A"/>
          <w:kern w:val="0"/>
          <w:sz w:val="26"/>
          <w:szCs w:val="26"/>
          <w14:ligatures w14:val="none"/>
        </w:rPr>
        <w:lastRenderedPageBreak/>
        <w:t>tiếp tục quá trình sản xuất); xuất hàng dưới các hình thức cho vay, cho mượn hoặc hoàn trả hàng hóa 01 số hóa đơn.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1.000.000 đồng đến 2.000.000 đồng</w:t>
      </w:r>
      <w:r w:rsidRPr="007F73E0">
        <w:rPr>
          <w:rFonts w:ascii="Times New Roman" w:eastAsia="Times New Roman" w:hAnsi="Times New Roman" w:cs="Times New Roman"/>
          <w:color w:val="152C4A"/>
          <w:kern w:val="0"/>
          <w:sz w:val="26"/>
          <w:szCs w:val="26"/>
          <w14:ligatures w14:val="none"/>
        </w:rPr>
        <w:t> trong trường hợp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02 số hóa đơn đến dưới 10 số hóa đơn và trường hợp không lập hóa đơn khi bán hàng hóa, cung cấp dịch vụ theo quy định 01 số hóa đơn;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2.000.000 đồng đến 10.000.000 đồng</w:t>
      </w:r>
      <w:r w:rsidRPr="007F73E0">
        <w:rPr>
          <w:rFonts w:ascii="Times New Roman" w:eastAsia="Times New Roman" w:hAnsi="Times New Roman" w:cs="Times New Roman"/>
          <w:color w:val="152C4A"/>
          <w:kern w:val="0"/>
          <w:sz w:val="26"/>
          <w:szCs w:val="26"/>
          <w14:ligatures w14:val="none"/>
        </w:rPr>
        <w:t> trong trường hợp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 số hóa đơn đến dưới 50 số hóa đơn và trường hợp không lập hóa đơn khi bán hàng hóa, cung cấp dịch vụ theo quy định từ 02 số hóa đơn đến dưới 10 số hóa đơn.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10.000.000 đồng đến 30.000.000 đồng</w:t>
      </w:r>
      <w:r w:rsidRPr="007F73E0">
        <w:rPr>
          <w:rFonts w:ascii="Times New Roman" w:eastAsia="Times New Roman" w:hAnsi="Times New Roman" w:cs="Times New Roman"/>
          <w:color w:val="152C4A"/>
          <w:kern w:val="0"/>
          <w:sz w:val="26"/>
          <w:szCs w:val="26"/>
          <w14:ligatures w14:val="none"/>
        </w:rPr>
        <w:t> trong trường hợp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50 số hóa đơn đến dưới 100 số hóa đơn và trường hợp không lập hóa đơn khi bán hàng hóa, cung cấp dịch vụ theo quy định từ 10 số hóa đơn đến dưới 20 số hóa đơn.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30.000.000 đồng đến 50.000.000 đồng</w:t>
      </w:r>
      <w:r w:rsidRPr="007F73E0">
        <w:rPr>
          <w:rFonts w:ascii="Times New Roman" w:eastAsia="Times New Roman" w:hAnsi="Times New Roman" w:cs="Times New Roman"/>
          <w:color w:val="152C4A"/>
          <w:kern w:val="0"/>
          <w:sz w:val="26"/>
          <w:szCs w:val="26"/>
          <w14:ligatures w14:val="none"/>
        </w:rPr>
        <w:t> trong trường hợp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100 số hóa đơn trở lên và trường hợp không lập hóa đơn khi bán hàng hóa, cung cấp dịch vụ theo quy định từ 20 số hóa đơn đến dưới 50 số hóa đơn.</w:t>
      </w:r>
    </w:p>
    <w:p w:rsidR="007F73E0" w:rsidRPr="007F73E0" w:rsidRDefault="007F73E0" w:rsidP="007F73E0">
      <w:pPr>
        <w:spacing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Phạt tiền từ 60.000.000 đồng đến 80.000.000 đồng</w:t>
      </w:r>
      <w:r w:rsidRPr="007F73E0">
        <w:rPr>
          <w:rFonts w:ascii="Times New Roman" w:eastAsia="Times New Roman" w:hAnsi="Times New Roman" w:cs="Times New Roman"/>
          <w:color w:val="152C4A"/>
          <w:kern w:val="0"/>
          <w:sz w:val="26"/>
          <w:szCs w:val="26"/>
          <w14:ligatures w14:val="none"/>
        </w:rPr>
        <w:t> trong trường hợp không lập hóa đơn khi bán hàng hóa, cung cấp dịch vụ theo quy định từ 50 số hóa đơn trở lên.</w:t>
      </w:r>
    </w:p>
    <w:p w:rsidR="007F73E0" w:rsidRPr="007F73E0" w:rsidRDefault="007F73E0" w:rsidP="007F73E0">
      <w:pPr>
        <w:spacing w:line="390" w:lineRule="atLeast"/>
        <w:jc w:val="both"/>
        <w:outlineLvl w:val="1"/>
        <w:rPr>
          <w:rFonts w:ascii="Times New Roman" w:eastAsia="Times New Roman" w:hAnsi="Times New Roman" w:cs="Times New Roman"/>
          <w:b/>
          <w:bCs/>
          <w:color w:val="152C4A"/>
          <w:kern w:val="0"/>
          <w:sz w:val="26"/>
          <w:szCs w:val="26"/>
          <w14:ligatures w14:val="none"/>
        </w:rPr>
      </w:pPr>
      <w:r w:rsidRPr="007F73E0">
        <w:rPr>
          <w:rFonts w:ascii="Times New Roman" w:eastAsia="Times New Roman" w:hAnsi="Times New Roman" w:cs="Times New Roman"/>
          <w:b/>
          <w:bCs/>
          <w:color w:val="152C4A"/>
          <w:kern w:val="0"/>
          <w:sz w:val="26"/>
          <w:szCs w:val="26"/>
          <w14:ligatures w14:val="none"/>
        </w:rPr>
        <w:t>Quy định về chuyển tiếp</w:t>
      </w:r>
    </w:p>
    <w:p w:rsidR="007F73E0" w:rsidRPr="007F73E0" w:rsidRDefault="007F73E0" w:rsidP="007F73E0">
      <w:pPr>
        <w:spacing w:before="120" w:after="120"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lastRenderedPageBreak/>
        <w:t>Nghị định nêu rõ, trường hợp hành vi vi phạm hành chính về thuế, hóa đơn đã kết thúc trước ngày Nghị định này có hiệu lực thì áp dụng quy định tại văn bản quy phạm pháp luật về xử phạt vi phạm hành chính về thuế, hóa đơn có hiệu lực tại thời điểm thực hiện hành vi vi phạm đó.</w:t>
      </w:r>
    </w:p>
    <w:p w:rsidR="007F73E0" w:rsidRPr="007F73E0" w:rsidRDefault="007F73E0" w:rsidP="007F73E0">
      <w:pPr>
        <w:spacing w:before="120" w:after="120"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Trường hợp hành vi vi phạm hành chính về thuế, hóa đơn đang được thực hiện trước ngày Nghị định này có hiệu lực và hành vi vi phạm hành chính đó được phát hiện sau ngày Nghị định này có hiệu lực thì áp dụng quy định tại Nghị định này.</w:t>
      </w:r>
    </w:p>
    <w:p w:rsidR="007F73E0" w:rsidRPr="007F73E0" w:rsidRDefault="007F73E0" w:rsidP="007F73E0">
      <w:pPr>
        <w:spacing w:before="120" w:after="120" w:line="390" w:lineRule="atLeast"/>
        <w:jc w:val="both"/>
        <w:rPr>
          <w:rFonts w:ascii="Times New Roman" w:eastAsia="Times New Roman" w:hAnsi="Times New Roman" w:cs="Times New Roman"/>
          <w:color w:val="152C4A"/>
          <w:kern w:val="0"/>
          <w:sz w:val="26"/>
          <w:szCs w:val="26"/>
          <w14:ligatures w14:val="none"/>
        </w:rPr>
      </w:pPr>
      <w:r w:rsidRPr="007F73E0">
        <w:rPr>
          <w:rFonts w:ascii="Times New Roman" w:eastAsia="Times New Roman" w:hAnsi="Times New Roman" w:cs="Times New Roman"/>
          <w:color w:val="152C4A"/>
          <w:kern w:val="0"/>
          <w:sz w:val="26"/>
          <w:szCs w:val="26"/>
          <w14:ligatures w14:val="none"/>
        </w:rPr>
        <w:t>Đối với các hành vi vi phạm hành chính về thuế, hóa đơn đã bị xử phạt trước ngày Nghị định này có hiệu lực mà cá nhân, tổ chức còn khiếu nại, khởi kiện thì được giải quyết theo quy định của pháp luật xử phạt vi phạm hành chính về thuế và hóa đơn và các quy định pháp luật liên quan có hiệu lực tại thời điểm thực hiện hành vi vi phạm.</w:t>
      </w:r>
    </w:p>
    <w:p w:rsidR="007F73E0" w:rsidRPr="007F73E0" w:rsidRDefault="007F73E0" w:rsidP="007F73E0">
      <w:pPr>
        <w:jc w:val="both"/>
        <w:rPr>
          <w:rFonts w:ascii="Times New Roman" w:hAnsi="Times New Roman" w:cs="Times New Roman"/>
          <w:sz w:val="26"/>
          <w:szCs w:val="26"/>
        </w:rPr>
      </w:pPr>
    </w:p>
    <w:sectPr w:rsidR="007F73E0" w:rsidRPr="007F73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E0"/>
    <w:rsid w:val="007F73E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8832AF0"/>
  <w15:chartTrackingRefBased/>
  <w15:docId w15:val="{CD0CD307-A656-2844-8E98-D4348890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73E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F73E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F73E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3E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F73E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F73E0"/>
    <w:rPr>
      <w:rFonts w:ascii="Times New Roman" w:eastAsia="Times New Roman" w:hAnsi="Times New Roman" w:cs="Times New Roman"/>
      <w:b/>
      <w:bCs/>
      <w:kern w:val="0"/>
      <w:sz w:val="27"/>
      <w:szCs w:val="27"/>
      <w14:ligatures w14:val="none"/>
    </w:rPr>
  </w:style>
  <w:style w:type="paragraph" w:customStyle="1" w:styleId="days">
    <w:name w:val="days"/>
    <w:basedOn w:val="Normal"/>
    <w:rsid w:val="007F73E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F73E0"/>
    <w:rPr>
      <w:color w:val="0000FF"/>
      <w:u w:val="single"/>
    </w:rPr>
  </w:style>
  <w:style w:type="character" w:customStyle="1" w:styleId="player-duration">
    <w:name w:val="player-duration"/>
    <w:basedOn w:val="DefaultParagraphFont"/>
    <w:rsid w:val="007F73E0"/>
  </w:style>
  <w:style w:type="character" w:styleId="Strong">
    <w:name w:val="Strong"/>
    <w:basedOn w:val="DefaultParagraphFont"/>
    <w:uiPriority w:val="22"/>
    <w:qFormat/>
    <w:rsid w:val="007F73E0"/>
    <w:rPr>
      <w:b/>
      <w:bCs/>
    </w:rPr>
  </w:style>
  <w:style w:type="paragraph" w:styleId="NormalWeb">
    <w:name w:val="Normal (Web)"/>
    <w:basedOn w:val="Normal"/>
    <w:uiPriority w:val="99"/>
    <w:semiHidden/>
    <w:unhideWhenUsed/>
    <w:rsid w:val="007F73E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0945">
      <w:bodyDiv w:val="1"/>
      <w:marLeft w:val="0"/>
      <w:marRight w:val="0"/>
      <w:marTop w:val="0"/>
      <w:marBottom w:val="0"/>
      <w:divBdr>
        <w:top w:val="none" w:sz="0" w:space="0" w:color="auto"/>
        <w:left w:val="none" w:sz="0" w:space="0" w:color="auto"/>
        <w:bottom w:val="none" w:sz="0" w:space="0" w:color="auto"/>
        <w:right w:val="none" w:sz="0" w:space="0" w:color="auto"/>
      </w:divBdr>
      <w:divsChild>
        <w:div w:id="14500263">
          <w:marLeft w:val="0"/>
          <w:marRight w:val="0"/>
          <w:marTop w:val="0"/>
          <w:marBottom w:val="0"/>
          <w:divBdr>
            <w:top w:val="none" w:sz="0" w:space="0" w:color="auto"/>
            <w:left w:val="none" w:sz="0" w:space="0" w:color="auto"/>
            <w:bottom w:val="none" w:sz="0" w:space="0" w:color="auto"/>
            <w:right w:val="none" w:sz="0" w:space="0" w:color="auto"/>
          </w:divBdr>
        </w:div>
        <w:div w:id="1039475080">
          <w:marLeft w:val="0"/>
          <w:marRight w:val="0"/>
          <w:marTop w:val="0"/>
          <w:marBottom w:val="240"/>
          <w:divBdr>
            <w:top w:val="none" w:sz="0" w:space="0" w:color="auto"/>
            <w:left w:val="none" w:sz="0" w:space="0" w:color="auto"/>
            <w:bottom w:val="none" w:sz="0" w:space="0" w:color="auto"/>
            <w:right w:val="none" w:sz="0" w:space="0" w:color="auto"/>
          </w:divBdr>
        </w:div>
        <w:div w:id="1054817489">
          <w:marLeft w:val="0"/>
          <w:marRight w:val="0"/>
          <w:marTop w:val="0"/>
          <w:marBottom w:val="360"/>
          <w:divBdr>
            <w:top w:val="none" w:sz="0" w:space="0" w:color="auto"/>
            <w:left w:val="none" w:sz="0" w:space="0" w:color="auto"/>
            <w:bottom w:val="single" w:sz="6" w:space="18" w:color="EBEBEB"/>
            <w:right w:val="none" w:sz="0" w:space="0" w:color="auto"/>
          </w:divBdr>
          <w:divsChild>
            <w:div w:id="1332558823">
              <w:marLeft w:val="120"/>
              <w:marRight w:val="0"/>
              <w:marTop w:val="0"/>
              <w:marBottom w:val="0"/>
              <w:divBdr>
                <w:top w:val="none" w:sz="0" w:space="0" w:color="auto"/>
                <w:left w:val="none" w:sz="0" w:space="0" w:color="auto"/>
                <w:bottom w:val="none" w:sz="0" w:space="0" w:color="auto"/>
                <w:right w:val="none" w:sz="0" w:space="0" w:color="auto"/>
              </w:divBdr>
              <w:divsChild>
                <w:div w:id="1936553240">
                  <w:marLeft w:val="0"/>
                  <w:marRight w:val="0"/>
                  <w:marTop w:val="100"/>
                  <w:marBottom w:val="100"/>
                  <w:divBdr>
                    <w:top w:val="none" w:sz="0" w:space="0" w:color="auto"/>
                    <w:left w:val="none" w:sz="0" w:space="0" w:color="auto"/>
                    <w:bottom w:val="none" w:sz="0" w:space="0" w:color="auto"/>
                    <w:right w:val="none" w:sz="0" w:space="0" w:color="auto"/>
                  </w:divBdr>
                  <w:divsChild>
                    <w:div w:id="21152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0444">
              <w:marLeft w:val="0"/>
              <w:marRight w:val="0"/>
              <w:marTop w:val="0"/>
              <w:marBottom w:val="0"/>
              <w:divBdr>
                <w:top w:val="none" w:sz="0" w:space="0" w:color="auto"/>
                <w:left w:val="none" w:sz="0" w:space="0" w:color="auto"/>
                <w:bottom w:val="none" w:sz="0" w:space="0" w:color="auto"/>
                <w:right w:val="none" w:sz="0" w:space="0" w:color="auto"/>
              </w:divBdr>
            </w:div>
          </w:divsChild>
        </w:div>
        <w:div w:id="1811970667">
          <w:marLeft w:val="0"/>
          <w:marRight w:val="0"/>
          <w:marTop w:val="0"/>
          <w:marBottom w:val="0"/>
          <w:divBdr>
            <w:top w:val="none" w:sz="0" w:space="0" w:color="auto"/>
            <w:left w:val="none" w:sz="0" w:space="0" w:color="auto"/>
            <w:bottom w:val="none" w:sz="0" w:space="0" w:color="auto"/>
            <w:right w:val="none" w:sz="0" w:space="0" w:color="auto"/>
          </w:divBdr>
          <w:divsChild>
            <w:div w:id="1467821475">
              <w:marLeft w:val="0"/>
              <w:marRight w:val="0"/>
              <w:marTop w:val="0"/>
              <w:marBottom w:val="0"/>
              <w:divBdr>
                <w:top w:val="none" w:sz="0" w:space="0" w:color="auto"/>
                <w:left w:val="none" w:sz="0" w:space="0" w:color="auto"/>
                <w:bottom w:val="none" w:sz="0" w:space="0" w:color="auto"/>
                <w:right w:val="none" w:sz="0" w:space="0" w:color="auto"/>
              </w:divBdr>
              <w:divsChild>
                <w:div w:id="71847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1884</Words>
  <Characters>10741</Characters>
  <Application>Microsoft Office Word</Application>
  <DocSecurity>0</DocSecurity>
  <Lines>89</Lines>
  <Paragraphs>25</Paragraphs>
  <ScaleCrop>false</ScaleCrop>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2025-12-12T02:51:00Z</dcterms:created>
  <dcterms:modified xsi:type="dcterms:W3CDTF">2025-12-12T02:55:00Z</dcterms:modified>
</cp:coreProperties>
</file>