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763E0" w14:textId="110D14B7" w:rsidR="008D0665" w:rsidRPr="008D0665" w:rsidRDefault="008D0665" w:rsidP="008D0665">
      <w:pPr>
        <w:jc w:val="both"/>
        <w:rPr>
          <w:rFonts w:ascii="Times New Roman" w:hAnsi="Times New Roman" w:cs="Times New Roman"/>
          <w:b/>
          <w:bCs/>
          <w:sz w:val="32"/>
          <w:szCs w:val="32"/>
        </w:rPr>
      </w:pPr>
      <w:r w:rsidRPr="008D0665">
        <w:rPr>
          <w:rFonts w:ascii="Times New Roman" w:hAnsi="Times New Roman" w:cs="Times New Roman"/>
          <w:b/>
          <w:bCs/>
          <w:sz w:val="32"/>
          <w:szCs w:val="32"/>
        </w:rPr>
        <w:t>H</w:t>
      </w:r>
      <w:r w:rsidRPr="008D0665">
        <w:rPr>
          <w:rFonts w:ascii="Times New Roman" w:hAnsi="Times New Roman" w:cs="Times New Roman"/>
          <w:b/>
          <w:bCs/>
          <w:sz w:val="32"/>
          <w:szCs w:val="32"/>
        </w:rPr>
        <w:t>ướng dẫn kế toán cho các hộ kinh doanh, cá nhân kinh doanh</w:t>
      </w:r>
    </w:p>
    <w:p w14:paraId="062F71A7" w14:textId="77777777" w:rsidR="008D0665" w:rsidRPr="008D0665" w:rsidRDefault="008D0665" w:rsidP="008D0665">
      <w:pPr>
        <w:ind w:firstLine="720"/>
        <w:jc w:val="both"/>
        <w:rPr>
          <w:rFonts w:ascii="Times New Roman" w:hAnsi="Times New Roman" w:cs="Times New Roman"/>
          <w:sz w:val="26"/>
          <w:szCs w:val="26"/>
        </w:rPr>
      </w:pPr>
      <w:r w:rsidRPr="008D0665">
        <w:rPr>
          <w:rFonts w:ascii="Times New Roman" w:hAnsi="Times New Roman" w:cs="Times New Roman"/>
          <w:sz w:val="26"/>
          <w:szCs w:val="26"/>
        </w:rPr>
        <w:t>Trong thời gian tới, chính sách quản lý thuế và kế toán cho hộ kinh doanh, cá nhân kinh doanh sẽ có nhiều thay đổi quan trọng. Trước bối cảnh đó, Bộ Tài chính đang xây dựng Dự thảo Thông tư hướng dẫn kế toán cho hộ kinh doanh, cá nhân kinh doanh, nhằm chuẩn hóa việc ghi chép sổ sách và thực hiện nghĩa vụ thuế theo quy định.</w:t>
      </w:r>
    </w:p>
    <w:p w14:paraId="6527CF02" w14:textId="25FC1A33" w:rsidR="008D0665" w:rsidRPr="008D0665" w:rsidRDefault="008D0665" w:rsidP="008D0665">
      <w:pPr>
        <w:jc w:val="both"/>
        <w:rPr>
          <w:rFonts w:ascii="Times New Roman" w:hAnsi="Times New Roman" w:cs="Times New Roman"/>
          <w:sz w:val="26"/>
          <w:szCs w:val="26"/>
        </w:rPr>
      </w:pPr>
      <w:r w:rsidRPr="008D0665">
        <w:rPr>
          <w:rFonts w:ascii="Times New Roman" w:hAnsi="Times New Roman" w:cs="Times New Roman"/>
          <w:sz w:val="26"/>
          <w:szCs w:val="26"/>
        </w:rPr>
        <w:t>Chi tiết nội dung dự thảo hướng dẫn kế toán cho hộ kinh doanh, cá nhân kinh doanh, phạm vi áp dụng và cách thực hiện kế toán theo từng mức doanh thu.</w:t>
      </w:r>
    </w:p>
    <w:p w14:paraId="433D7A89" w14:textId="77777777" w:rsidR="008D0665" w:rsidRPr="008D0665" w:rsidRDefault="008D0665" w:rsidP="008D0665">
      <w:pPr>
        <w:jc w:val="both"/>
        <w:rPr>
          <w:rFonts w:ascii="Times New Roman" w:hAnsi="Times New Roman" w:cs="Times New Roman"/>
          <w:sz w:val="26"/>
          <w:szCs w:val="26"/>
        </w:rPr>
      </w:pPr>
      <w:r w:rsidRPr="008D0665">
        <w:rPr>
          <w:rFonts w:ascii="Times New Roman" w:hAnsi="Times New Roman" w:cs="Times New Roman"/>
          <w:sz w:val="26"/>
          <w:szCs w:val="26"/>
        </w:rPr>
        <w:t>1. Dự thảo Thông tư hướng dẫn kế toán cho hộ kinh doanh là gì?</w:t>
      </w:r>
    </w:p>
    <w:p w14:paraId="2892A872" w14:textId="77777777" w:rsidR="008D0665" w:rsidRPr="008D0665" w:rsidRDefault="008D0665" w:rsidP="008D0665">
      <w:pPr>
        <w:jc w:val="both"/>
        <w:rPr>
          <w:rFonts w:ascii="Times New Roman" w:hAnsi="Times New Roman" w:cs="Times New Roman"/>
          <w:sz w:val="26"/>
          <w:szCs w:val="26"/>
        </w:rPr>
      </w:pPr>
      <w:r w:rsidRPr="008D0665">
        <w:rPr>
          <w:rFonts w:ascii="Times New Roman" w:hAnsi="Times New Roman" w:cs="Times New Roman"/>
          <w:sz w:val="26"/>
          <w:szCs w:val="26"/>
        </w:rPr>
        <w:t>Theo thông tin từ Cổng Thông tin điện tử Chính phủ, Bộ Tài chính đang dự thảo Thông tư hướng dẫn kế toán cho các hộ kinh doanh, cá nhân kinh doanh. Dự thảo này tập trung hướng dẫn việc ghi sổ kế toán cho kinh doanh, cá nhân kinh doanh, trong đó:</w:t>
      </w:r>
    </w:p>
    <w:p w14:paraId="1D54EC9E" w14:textId="77777777" w:rsidR="008D0665" w:rsidRPr="008D0665" w:rsidRDefault="008D0665" w:rsidP="008D0665">
      <w:pPr>
        <w:jc w:val="both"/>
        <w:rPr>
          <w:rFonts w:ascii="Times New Roman" w:hAnsi="Times New Roman" w:cs="Times New Roman"/>
          <w:sz w:val="26"/>
          <w:szCs w:val="26"/>
        </w:rPr>
      </w:pPr>
      <w:r w:rsidRPr="008D0665">
        <w:rPr>
          <w:rFonts w:ascii="Times New Roman" w:hAnsi="Times New Roman" w:cs="Times New Roman"/>
          <w:sz w:val="26"/>
          <w:szCs w:val="26"/>
        </w:rPr>
        <w:t>– Hộ kinh doanh, cá nhân kinh doanh có doanh thu hằng năm trên 3 tỷ đồng thực hiện kế toán theo hướng dẫn tại dự thảo hoặc theo chế độ kế toán doanh nghiệp siêu nhỏ.</w:t>
      </w:r>
    </w:p>
    <w:p w14:paraId="5E061CA6" w14:textId="77777777" w:rsidR="008D0665" w:rsidRPr="008D0665" w:rsidRDefault="008D0665" w:rsidP="008D0665">
      <w:pPr>
        <w:jc w:val="both"/>
        <w:rPr>
          <w:rFonts w:ascii="Times New Roman" w:hAnsi="Times New Roman" w:cs="Times New Roman"/>
          <w:sz w:val="26"/>
          <w:szCs w:val="26"/>
        </w:rPr>
      </w:pPr>
      <w:r w:rsidRPr="008D0665">
        <w:rPr>
          <w:rFonts w:ascii="Times New Roman" w:hAnsi="Times New Roman" w:cs="Times New Roman"/>
          <w:sz w:val="26"/>
          <w:szCs w:val="26"/>
        </w:rPr>
        <w:t>– Người đại diện hộ kinh doanh có thể tự ghi sổ, bố trí người làm kế toán hoặc thuê dịch vụ kế toán.</w:t>
      </w:r>
    </w:p>
    <w:p w14:paraId="2B85EF70" w14:textId="77777777" w:rsidR="008D0665" w:rsidRPr="008D0665" w:rsidRDefault="008D0665" w:rsidP="008D0665">
      <w:pPr>
        <w:jc w:val="both"/>
        <w:rPr>
          <w:rFonts w:ascii="Times New Roman" w:hAnsi="Times New Roman" w:cs="Times New Roman"/>
          <w:sz w:val="26"/>
          <w:szCs w:val="26"/>
        </w:rPr>
      </w:pPr>
      <w:r w:rsidRPr="008D0665">
        <w:rPr>
          <w:rFonts w:ascii="Times New Roman" w:hAnsi="Times New Roman" w:cs="Times New Roman"/>
          <w:sz w:val="26"/>
          <w:szCs w:val="26"/>
        </w:rPr>
        <w:t>Ngoài ra, dự thảo cho phép người đại diện hộ kinh doanh bố trí người thân trong gia đình hoặc người quản lý, thủ kho, thủ quỹ kiêm nhiệm công tác kế toán theo quy định.</w:t>
      </w:r>
    </w:p>
    <w:p w14:paraId="4C3F5B14" w14:textId="77777777" w:rsidR="008D0665" w:rsidRPr="008D0665" w:rsidRDefault="008D0665" w:rsidP="008D0665">
      <w:pPr>
        <w:jc w:val="both"/>
        <w:rPr>
          <w:rFonts w:ascii="Times New Roman" w:hAnsi="Times New Roman" w:cs="Times New Roman"/>
          <w:sz w:val="26"/>
          <w:szCs w:val="26"/>
        </w:rPr>
      </w:pPr>
      <w:r w:rsidRPr="008D0665">
        <w:rPr>
          <w:rFonts w:ascii="Times New Roman" w:hAnsi="Times New Roman" w:cs="Times New Roman"/>
          <w:sz w:val="26"/>
          <w:szCs w:val="26"/>
        </w:rPr>
        <w:t>2. Cơ sở xây dựng dự thảo Thông tư</w:t>
      </w:r>
    </w:p>
    <w:p w14:paraId="3595DB5E" w14:textId="77777777" w:rsidR="008D0665" w:rsidRPr="008D0665" w:rsidRDefault="008D0665" w:rsidP="008D0665">
      <w:pPr>
        <w:jc w:val="both"/>
        <w:rPr>
          <w:rFonts w:ascii="Times New Roman" w:hAnsi="Times New Roman" w:cs="Times New Roman"/>
          <w:sz w:val="26"/>
          <w:szCs w:val="26"/>
        </w:rPr>
      </w:pPr>
      <w:r w:rsidRPr="008D0665">
        <w:rPr>
          <w:rFonts w:ascii="Times New Roman" w:hAnsi="Times New Roman" w:cs="Times New Roman"/>
          <w:sz w:val="26"/>
          <w:szCs w:val="26"/>
        </w:rPr>
        <w:t>Bộ Tài chính cho biết, dự thảo Thông tư được xây dựng trên cơ sở:</w:t>
      </w:r>
    </w:p>
    <w:p w14:paraId="510D7B77" w14:textId="77777777" w:rsidR="008D0665" w:rsidRPr="008D0665" w:rsidRDefault="008D0665" w:rsidP="008D0665">
      <w:pPr>
        <w:jc w:val="both"/>
        <w:rPr>
          <w:rFonts w:ascii="Times New Roman" w:hAnsi="Times New Roman" w:cs="Times New Roman"/>
          <w:sz w:val="26"/>
          <w:szCs w:val="26"/>
        </w:rPr>
      </w:pPr>
      <w:r w:rsidRPr="008D0665">
        <w:rPr>
          <w:rFonts w:ascii="Times New Roman" w:hAnsi="Times New Roman" w:cs="Times New Roman"/>
          <w:sz w:val="26"/>
          <w:szCs w:val="26"/>
        </w:rPr>
        <w:t>– Dự thảo Luật Quản lý thuế</w:t>
      </w:r>
    </w:p>
    <w:p w14:paraId="0D4667AA" w14:textId="77777777" w:rsidR="008D0665" w:rsidRPr="008D0665" w:rsidRDefault="008D0665" w:rsidP="008D0665">
      <w:pPr>
        <w:jc w:val="both"/>
        <w:rPr>
          <w:rFonts w:ascii="Times New Roman" w:hAnsi="Times New Roman" w:cs="Times New Roman"/>
          <w:sz w:val="26"/>
          <w:szCs w:val="26"/>
        </w:rPr>
      </w:pPr>
      <w:r w:rsidRPr="008D0665">
        <w:rPr>
          <w:rFonts w:ascii="Times New Roman" w:hAnsi="Times New Roman" w:cs="Times New Roman"/>
          <w:sz w:val="26"/>
          <w:szCs w:val="26"/>
        </w:rPr>
        <w:t>– Dự thảo Luật Thuế thu nhập cá nhân (TNCN)</w:t>
      </w:r>
    </w:p>
    <w:p w14:paraId="610399A8" w14:textId="77777777" w:rsidR="008D0665" w:rsidRPr="008D0665" w:rsidRDefault="008D0665" w:rsidP="008D0665">
      <w:pPr>
        <w:jc w:val="both"/>
        <w:rPr>
          <w:rFonts w:ascii="Times New Roman" w:hAnsi="Times New Roman" w:cs="Times New Roman"/>
          <w:sz w:val="26"/>
          <w:szCs w:val="26"/>
        </w:rPr>
      </w:pPr>
      <w:r w:rsidRPr="008D0665">
        <w:rPr>
          <w:rFonts w:ascii="Times New Roman" w:hAnsi="Times New Roman" w:cs="Times New Roman"/>
          <w:sz w:val="26"/>
          <w:szCs w:val="26"/>
        </w:rPr>
        <w:t>– Dự thảo Nghị định quy định về quản lý thuế đối với hộ kinh doanh, cá nhân kinh doanh</w:t>
      </w:r>
    </w:p>
    <w:p w14:paraId="622AA502" w14:textId="77777777" w:rsidR="008D0665" w:rsidRPr="008D0665" w:rsidRDefault="008D0665" w:rsidP="008D0665">
      <w:pPr>
        <w:jc w:val="both"/>
        <w:rPr>
          <w:rFonts w:ascii="Times New Roman" w:hAnsi="Times New Roman" w:cs="Times New Roman"/>
          <w:sz w:val="26"/>
          <w:szCs w:val="26"/>
        </w:rPr>
      </w:pPr>
      <w:r w:rsidRPr="008D0665">
        <w:rPr>
          <w:rFonts w:ascii="Times New Roman" w:hAnsi="Times New Roman" w:cs="Times New Roman"/>
          <w:sz w:val="26"/>
          <w:szCs w:val="26"/>
        </w:rPr>
        <w:t>Bên cạnh đó, dự thảo còn hướng dẫn thêm một số tình huống giả định có thể phát sinh trong thực tế để làm rõ cách thực hiện kế toán và nghĩa vụ thuế.</w:t>
      </w:r>
    </w:p>
    <w:p w14:paraId="19093BE9" w14:textId="77777777" w:rsidR="008D0665" w:rsidRPr="008D0665" w:rsidRDefault="008D0665" w:rsidP="008D0665">
      <w:pPr>
        <w:jc w:val="both"/>
        <w:rPr>
          <w:rFonts w:ascii="Times New Roman" w:hAnsi="Times New Roman" w:cs="Times New Roman"/>
          <w:sz w:val="26"/>
          <w:szCs w:val="26"/>
        </w:rPr>
      </w:pPr>
      <w:r w:rsidRPr="008D0665">
        <w:rPr>
          <w:rFonts w:ascii="Times New Roman" w:hAnsi="Times New Roman" w:cs="Times New Roman"/>
          <w:sz w:val="26"/>
          <w:szCs w:val="26"/>
        </w:rPr>
        <w:t>3. Hướng dẫn kế toán theo từng mức doanh thu</w:t>
      </w:r>
    </w:p>
    <w:p w14:paraId="124C08A1" w14:textId="77777777" w:rsidR="008D0665" w:rsidRPr="008D0665" w:rsidRDefault="008D0665" w:rsidP="008D0665">
      <w:pPr>
        <w:jc w:val="both"/>
        <w:rPr>
          <w:rFonts w:ascii="Times New Roman" w:hAnsi="Times New Roman" w:cs="Times New Roman"/>
          <w:sz w:val="26"/>
          <w:szCs w:val="26"/>
        </w:rPr>
      </w:pPr>
      <w:r w:rsidRPr="008D0665">
        <w:rPr>
          <w:rFonts w:ascii="Times New Roman" w:hAnsi="Times New Roman" w:cs="Times New Roman"/>
          <w:sz w:val="26"/>
          <w:szCs w:val="26"/>
        </w:rPr>
        <w:t>3.1. Hộ kinh doanh có doanh thu từ 200 triệu đồng trở xuống</w:t>
      </w:r>
    </w:p>
    <w:p w14:paraId="09F3B7B2" w14:textId="77777777" w:rsidR="008D0665" w:rsidRPr="008D0665" w:rsidRDefault="008D0665" w:rsidP="008D0665">
      <w:pPr>
        <w:jc w:val="both"/>
        <w:rPr>
          <w:rFonts w:ascii="Times New Roman" w:hAnsi="Times New Roman" w:cs="Times New Roman"/>
          <w:sz w:val="26"/>
          <w:szCs w:val="26"/>
        </w:rPr>
      </w:pPr>
      <w:r w:rsidRPr="008D0665">
        <w:rPr>
          <w:rFonts w:ascii="Times New Roman" w:hAnsi="Times New Roman" w:cs="Times New Roman"/>
          <w:sz w:val="26"/>
          <w:szCs w:val="26"/>
        </w:rPr>
        <w:t>Theo dự thảo, hộ kinh doanh, cá nhân kinh doanh sử dụng Sổ chi tiết doanh thu bán hàng hóa, dịch vụ (mẫu S1a-HKD) để ghi chép doanh thu.</w:t>
      </w:r>
    </w:p>
    <w:p w14:paraId="65DAEBC6" w14:textId="5DCDAFD8" w:rsidR="008D0665" w:rsidRPr="008D0665" w:rsidRDefault="008D0665" w:rsidP="008D0665">
      <w:pPr>
        <w:jc w:val="both"/>
        <w:rPr>
          <w:rFonts w:ascii="Times New Roman" w:hAnsi="Times New Roman" w:cs="Times New Roman"/>
          <w:sz w:val="26"/>
          <w:szCs w:val="26"/>
        </w:rPr>
      </w:pPr>
      <w:r w:rsidRPr="008D0665">
        <w:rPr>
          <w:rFonts w:ascii="Times New Roman" w:hAnsi="Times New Roman" w:cs="Times New Roman"/>
          <w:sz w:val="26"/>
          <w:szCs w:val="26"/>
        </w:rPr>
        <w:lastRenderedPageBreak/>
        <w:drawing>
          <wp:inline distT="0" distB="0" distL="0" distR="0" wp14:anchorId="4DBE1ABB" wp14:editId="1BF33F3C">
            <wp:extent cx="5943600" cy="3707765"/>
            <wp:effectExtent l="0" t="0" r="0" b="6985"/>
            <wp:docPr id="168830519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3707765"/>
                    </a:xfrm>
                    <a:prstGeom prst="rect">
                      <a:avLst/>
                    </a:prstGeom>
                    <a:noFill/>
                    <a:ln>
                      <a:noFill/>
                    </a:ln>
                  </pic:spPr>
                </pic:pic>
              </a:graphicData>
            </a:graphic>
          </wp:inline>
        </w:drawing>
      </w:r>
    </w:p>
    <w:p w14:paraId="1A93E90B" w14:textId="77777777" w:rsidR="008D0665" w:rsidRPr="008D0665" w:rsidRDefault="008D0665" w:rsidP="008D0665">
      <w:pPr>
        <w:jc w:val="both"/>
        <w:rPr>
          <w:rFonts w:ascii="Times New Roman" w:hAnsi="Times New Roman" w:cs="Times New Roman"/>
          <w:sz w:val="26"/>
          <w:szCs w:val="26"/>
        </w:rPr>
      </w:pPr>
      <w:r w:rsidRPr="008D0665">
        <w:rPr>
          <w:rFonts w:ascii="Times New Roman" w:hAnsi="Times New Roman" w:cs="Times New Roman"/>
          <w:sz w:val="26"/>
          <w:szCs w:val="26"/>
        </w:rPr>
        <w:t>Hộ kinh doanh có doanh thu từ 200 triệu đồng trở xuống</w:t>
      </w:r>
    </w:p>
    <w:p w14:paraId="376003DE" w14:textId="77777777" w:rsidR="008D0665" w:rsidRPr="008D0665" w:rsidRDefault="008D0665" w:rsidP="008D0665">
      <w:pPr>
        <w:jc w:val="both"/>
        <w:rPr>
          <w:rFonts w:ascii="Times New Roman" w:hAnsi="Times New Roman" w:cs="Times New Roman"/>
          <w:sz w:val="26"/>
          <w:szCs w:val="26"/>
        </w:rPr>
      </w:pPr>
      <w:r w:rsidRPr="008D0665">
        <w:rPr>
          <w:rFonts w:ascii="Times New Roman" w:hAnsi="Times New Roman" w:cs="Times New Roman"/>
          <w:sz w:val="26"/>
          <w:szCs w:val="26"/>
        </w:rPr>
        <w:t>Phương pháp ghi sổ gồm:</w:t>
      </w:r>
    </w:p>
    <w:p w14:paraId="79813050" w14:textId="77777777" w:rsidR="008D0665" w:rsidRPr="008D0665" w:rsidRDefault="008D0665" w:rsidP="008D0665">
      <w:pPr>
        <w:jc w:val="both"/>
        <w:rPr>
          <w:rFonts w:ascii="Times New Roman" w:hAnsi="Times New Roman" w:cs="Times New Roman"/>
          <w:sz w:val="26"/>
          <w:szCs w:val="26"/>
        </w:rPr>
      </w:pPr>
      <w:r w:rsidRPr="008D0665">
        <w:rPr>
          <w:rFonts w:ascii="Times New Roman" w:hAnsi="Times New Roman" w:cs="Times New Roman"/>
          <w:sz w:val="26"/>
          <w:szCs w:val="26"/>
        </w:rPr>
        <w:t>– Cột A: Ghi ngày, tháng ghi sổ</w:t>
      </w:r>
    </w:p>
    <w:p w14:paraId="6C277701" w14:textId="77777777" w:rsidR="008D0665" w:rsidRPr="008D0665" w:rsidRDefault="008D0665" w:rsidP="008D0665">
      <w:pPr>
        <w:jc w:val="both"/>
        <w:rPr>
          <w:rFonts w:ascii="Times New Roman" w:hAnsi="Times New Roman" w:cs="Times New Roman"/>
          <w:sz w:val="26"/>
          <w:szCs w:val="26"/>
        </w:rPr>
      </w:pPr>
      <w:r w:rsidRPr="008D0665">
        <w:rPr>
          <w:rFonts w:ascii="Times New Roman" w:hAnsi="Times New Roman" w:cs="Times New Roman"/>
          <w:sz w:val="26"/>
          <w:szCs w:val="26"/>
        </w:rPr>
        <w:t>– Cột B: Ghi giao dịch bán hàng hóa, dịch vụ</w:t>
      </w:r>
    </w:p>
    <w:p w14:paraId="410D4AA3" w14:textId="77777777" w:rsidR="008D0665" w:rsidRPr="008D0665" w:rsidRDefault="008D0665" w:rsidP="008D0665">
      <w:pPr>
        <w:jc w:val="both"/>
        <w:rPr>
          <w:rFonts w:ascii="Times New Roman" w:hAnsi="Times New Roman" w:cs="Times New Roman"/>
          <w:sz w:val="26"/>
          <w:szCs w:val="26"/>
        </w:rPr>
      </w:pPr>
      <w:r w:rsidRPr="008D0665">
        <w:rPr>
          <w:rFonts w:ascii="Times New Roman" w:hAnsi="Times New Roman" w:cs="Times New Roman"/>
          <w:sz w:val="26"/>
          <w:szCs w:val="26"/>
        </w:rPr>
        <w:t>– Cột 1: Ghi số tiền bán hàng hóa, dịch vụ</w:t>
      </w:r>
    </w:p>
    <w:p w14:paraId="35F530FF" w14:textId="77777777" w:rsidR="008D0665" w:rsidRPr="008D0665" w:rsidRDefault="008D0665" w:rsidP="008D0665">
      <w:pPr>
        <w:jc w:val="both"/>
        <w:rPr>
          <w:rFonts w:ascii="Times New Roman" w:hAnsi="Times New Roman" w:cs="Times New Roman"/>
          <w:sz w:val="26"/>
          <w:szCs w:val="26"/>
        </w:rPr>
      </w:pPr>
      <w:r w:rsidRPr="008D0665">
        <w:rPr>
          <w:rFonts w:ascii="Times New Roman" w:hAnsi="Times New Roman" w:cs="Times New Roman"/>
          <w:sz w:val="26"/>
          <w:szCs w:val="26"/>
        </w:rPr>
        <w:t>3.2. Hộ kinh doanh có doanh thu trên 200 triệu đồng đến 3 tỷ đồng</w:t>
      </w:r>
    </w:p>
    <w:p w14:paraId="1A65820D" w14:textId="77777777" w:rsidR="008D0665" w:rsidRPr="008D0665" w:rsidRDefault="008D0665" w:rsidP="008D0665">
      <w:pPr>
        <w:jc w:val="both"/>
        <w:rPr>
          <w:rFonts w:ascii="Times New Roman" w:hAnsi="Times New Roman" w:cs="Times New Roman"/>
          <w:sz w:val="26"/>
          <w:szCs w:val="26"/>
        </w:rPr>
      </w:pPr>
      <w:r w:rsidRPr="008D0665">
        <w:rPr>
          <w:rFonts w:ascii="Times New Roman" w:hAnsi="Times New Roman" w:cs="Times New Roman"/>
          <w:sz w:val="26"/>
          <w:szCs w:val="26"/>
        </w:rPr>
        <w:t>Đối với nhóm này, việc thực hiện kế toán phụ thuộc vào phương pháp nộp thuế GTGT và thuế TNCN, gồm hai trường hợp:</w:t>
      </w:r>
    </w:p>
    <w:p w14:paraId="433AF747" w14:textId="77777777" w:rsidR="008D0665" w:rsidRPr="008D0665" w:rsidRDefault="008D0665" w:rsidP="008D0665">
      <w:pPr>
        <w:jc w:val="both"/>
        <w:rPr>
          <w:rFonts w:ascii="Times New Roman" w:hAnsi="Times New Roman" w:cs="Times New Roman"/>
          <w:sz w:val="26"/>
          <w:szCs w:val="26"/>
        </w:rPr>
      </w:pPr>
      <w:r w:rsidRPr="008D0665">
        <w:rPr>
          <w:rFonts w:ascii="Times New Roman" w:hAnsi="Times New Roman" w:cs="Times New Roman"/>
          <w:sz w:val="26"/>
          <w:szCs w:val="26"/>
        </w:rPr>
        <w:t>Trường hợp 1: Nộp thuế GTGT và TNCN theo tỷ lệ % trên doanh thu</w:t>
      </w:r>
    </w:p>
    <w:p w14:paraId="482D2E5E" w14:textId="77777777" w:rsidR="008D0665" w:rsidRPr="008D0665" w:rsidRDefault="008D0665" w:rsidP="008D0665">
      <w:pPr>
        <w:jc w:val="both"/>
        <w:rPr>
          <w:rFonts w:ascii="Times New Roman" w:hAnsi="Times New Roman" w:cs="Times New Roman"/>
          <w:sz w:val="26"/>
          <w:szCs w:val="26"/>
        </w:rPr>
      </w:pPr>
      <w:r w:rsidRPr="008D0665">
        <w:rPr>
          <w:rFonts w:ascii="Times New Roman" w:hAnsi="Times New Roman" w:cs="Times New Roman"/>
          <w:sz w:val="26"/>
          <w:szCs w:val="26"/>
        </w:rPr>
        <w:t>Chứng từ kế toán sử dụng là Hóa đơn bán hàng.</w:t>
      </w:r>
    </w:p>
    <w:p w14:paraId="0858A23F" w14:textId="77777777" w:rsidR="008D0665" w:rsidRPr="008D0665" w:rsidRDefault="008D0665" w:rsidP="008D0665">
      <w:pPr>
        <w:jc w:val="both"/>
        <w:rPr>
          <w:rFonts w:ascii="Times New Roman" w:hAnsi="Times New Roman" w:cs="Times New Roman"/>
          <w:sz w:val="26"/>
          <w:szCs w:val="26"/>
        </w:rPr>
      </w:pPr>
      <w:r w:rsidRPr="008D0665">
        <w:rPr>
          <w:rFonts w:ascii="Times New Roman" w:hAnsi="Times New Roman" w:cs="Times New Roman"/>
          <w:sz w:val="26"/>
          <w:szCs w:val="26"/>
        </w:rPr>
        <w:t>Về sổ kế toán, hộ kinh doanh, cá nhân kinh doanh sử dụng Sổ chi tiết doanh thu bán hàng hóa, dịch vụ (mẫu số S2a-HKD) sau đây để ghi chép doanh thu bán hàng hóa, dịch vụ:</w:t>
      </w:r>
    </w:p>
    <w:p w14:paraId="4B54F30C" w14:textId="2EB7273A" w:rsidR="008D0665" w:rsidRPr="008D0665" w:rsidRDefault="008D0665" w:rsidP="008D0665">
      <w:pPr>
        <w:jc w:val="both"/>
        <w:rPr>
          <w:rFonts w:ascii="Times New Roman" w:hAnsi="Times New Roman" w:cs="Times New Roman"/>
          <w:sz w:val="26"/>
          <w:szCs w:val="26"/>
        </w:rPr>
      </w:pPr>
      <w:r w:rsidRPr="008D0665">
        <w:rPr>
          <w:rFonts w:ascii="Times New Roman" w:hAnsi="Times New Roman" w:cs="Times New Roman"/>
          <w:sz w:val="26"/>
          <w:szCs w:val="26"/>
        </w:rPr>
        <w:lastRenderedPageBreak/>
        <w:drawing>
          <wp:inline distT="0" distB="0" distL="0" distR="0" wp14:anchorId="111455AC" wp14:editId="6E78E35C">
            <wp:extent cx="5943600" cy="4261485"/>
            <wp:effectExtent l="0" t="0" r="0" b="5715"/>
            <wp:docPr id="7475957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4261485"/>
                    </a:xfrm>
                    <a:prstGeom prst="rect">
                      <a:avLst/>
                    </a:prstGeom>
                    <a:noFill/>
                    <a:ln>
                      <a:noFill/>
                    </a:ln>
                  </pic:spPr>
                </pic:pic>
              </a:graphicData>
            </a:graphic>
          </wp:inline>
        </w:drawing>
      </w:r>
    </w:p>
    <w:p w14:paraId="14FCFAFD" w14:textId="77777777" w:rsidR="008D0665" w:rsidRPr="008D0665" w:rsidRDefault="008D0665" w:rsidP="008D0665">
      <w:pPr>
        <w:jc w:val="both"/>
        <w:rPr>
          <w:rFonts w:ascii="Times New Roman" w:hAnsi="Times New Roman" w:cs="Times New Roman"/>
          <w:sz w:val="26"/>
          <w:szCs w:val="26"/>
        </w:rPr>
      </w:pPr>
      <w:r w:rsidRPr="008D0665">
        <w:rPr>
          <w:rFonts w:ascii="Times New Roman" w:hAnsi="Times New Roman" w:cs="Times New Roman"/>
          <w:sz w:val="26"/>
          <w:szCs w:val="26"/>
        </w:rPr>
        <w:t>Hộ kinh doanh có doanh thu trên 200 triệu đồng đến 3 tỷ đồng</w:t>
      </w:r>
    </w:p>
    <w:p w14:paraId="48357767" w14:textId="77777777" w:rsidR="008D0665" w:rsidRPr="008D0665" w:rsidRDefault="008D0665" w:rsidP="008D0665">
      <w:pPr>
        <w:jc w:val="both"/>
        <w:rPr>
          <w:rFonts w:ascii="Times New Roman" w:hAnsi="Times New Roman" w:cs="Times New Roman"/>
          <w:sz w:val="26"/>
          <w:szCs w:val="26"/>
        </w:rPr>
      </w:pPr>
      <w:r w:rsidRPr="008D0665">
        <w:rPr>
          <w:rFonts w:ascii="Times New Roman" w:hAnsi="Times New Roman" w:cs="Times New Roman"/>
          <w:sz w:val="26"/>
          <w:szCs w:val="26"/>
        </w:rPr>
        <w:t>Trường hợp 2: Trường hợp hộ kinh doanh, cá nhân kinh doanh nộp thuế GTGT theo phương pháp khấu trừ và thuế TNCN theo tỷ lệ % trên doanh thu</w:t>
      </w:r>
    </w:p>
    <w:p w14:paraId="46328CCC" w14:textId="77777777" w:rsidR="008D0665" w:rsidRPr="008D0665" w:rsidRDefault="008D0665" w:rsidP="008D0665">
      <w:pPr>
        <w:jc w:val="both"/>
        <w:rPr>
          <w:rFonts w:ascii="Times New Roman" w:hAnsi="Times New Roman" w:cs="Times New Roman"/>
          <w:sz w:val="26"/>
          <w:szCs w:val="26"/>
        </w:rPr>
      </w:pPr>
      <w:r w:rsidRPr="008D0665">
        <w:rPr>
          <w:rFonts w:ascii="Times New Roman" w:hAnsi="Times New Roman" w:cs="Times New Roman"/>
          <w:sz w:val="26"/>
          <w:szCs w:val="26"/>
        </w:rPr>
        <w:t>Chứng từ kế toán là hóa đơn GTGT; hóa đơn bán hàng. </w:t>
      </w:r>
    </w:p>
    <w:p w14:paraId="1C505AE8" w14:textId="77777777" w:rsidR="008D0665" w:rsidRPr="008D0665" w:rsidRDefault="008D0665" w:rsidP="008D0665">
      <w:pPr>
        <w:jc w:val="both"/>
        <w:rPr>
          <w:rFonts w:ascii="Times New Roman" w:hAnsi="Times New Roman" w:cs="Times New Roman"/>
          <w:sz w:val="26"/>
          <w:szCs w:val="26"/>
        </w:rPr>
      </w:pPr>
      <w:r w:rsidRPr="008D0665">
        <w:rPr>
          <w:rFonts w:ascii="Times New Roman" w:hAnsi="Times New Roman" w:cs="Times New Roman"/>
          <w:sz w:val="26"/>
          <w:szCs w:val="26"/>
        </w:rPr>
        <w:t>Hộ kinh doanh, cá nhân kinh doanh sử dụng sổ kế toán theo danh mục sau đây:</w:t>
      </w:r>
    </w:p>
    <w:tbl>
      <w:tblPr>
        <w:tblW w:w="20490" w:type="dxa"/>
        <w:tblCellSpacing w:w="15" w:type="dxa"/>
        <w:tblBorders>
          <w:top w:val="single" w:sz="6" w:space="0" w:color="EEEEEE"/>
          <w:left w:val="single" w:sz="6" w:space="0" w:color="EEEEEE"/>
          <w:bottom w:val="single" w:sz="6" w:space="0" w:color="EEEEEE"/>
          <w:right w:val="single" w:sz="6" w:space="0" w:color="EEEEEE"/>
        </w:tblBorders>
        <w:tblCellMar>
          <w:left w:w="0" w:type="dxa"/>
          <w:right w:w="0" w:type="dxa"/>
        </w:tblCellMar>
        <w:tblLook w:val="04A0" w:firstRow="1" w:lastRow="0" w:firstColumn="1" w:lastColumn="0" w:noHBand="0" w:noVBand="1"/>
      </w:tblPr>
      <w:tblGrid>
        <w:gridCol w:w="1836"/>
        <w:gridCol w:w="12864"/>
        <w:gridCol w:w="5790"/>
      </w:tblGrid>
      <w:tr w:rsidR="008D0665" w:rsidRPr="008D0665" w14:paraId="57A6A970" w14:textId="77777777">
        <w:trPr>
          <w:tblCellSpacing w:w="15" w:type="dxa"/>
        </w:trPr>
        <w:tc>
          <w:tcPr>
            <w:tcW w:w="0" w:type="auto"/>
            <w:tcBorders>
              <w:top w:val="nil"/>
              <w:left w:val="nil"/>
              <w:bottom w:val="single" w:sz="6" w:space="0" w:color="EEEEEE"/>
              <w:right w:val="dotted" w:sz="6" w:space="0" w:color="EEEEEE"/>
            </w:tcBorders>
            <w:tcMar>
              <w:top w:w="96" w:type="dxa"/>
              <w:left w:w="96" w:type="dxa"/>
              <w:bottom w:w="96" w:type="dxa"/>
              <w:right w:w="96" w:type="dxa"/>
            </w:tcMar>
            <w:vAlign w:val="center"/>
            <w:hideMark/>
          </w:tcPr>
          <w:p w14:paraId="51BC463B" w14:textId="77777777" w:rsidR="008D0665" w:rsidRPr="008D0665" w:rsidRDefault="008D0665" w:rsidP="008D0665">
            <w:pPr>
              <w:jc w:val="both"/>
              <w:rPr>
                <w:rFonts w:ascii="Times New Roman" w:hAnsi="Times New Roman" w:cs="Times New Roman"/>
                <w:sz w:val="26"/>
                <w:szCs w:val="26"/>
              </w:rPr>
            </w:pPr>
            <w:r w:rsidRPr="008D0665">
              <w:rPr>
                <w:rFonts w:ascii="Times New Roman" w:hAnsi="Times New Roman" w:cs="Times New Roman"/>
                <w:sz w:val="26"/>
                <w:szCs w:val="26"/>
              </w:rPr>
              <w:t>STT</w:t>
            </w:r>
          </w:p>
        </w:tc>
        <w:tc>
          <w:tcPr>
            <w:tcW w:w="0" w:type="auto"/>
            <w:tcBorders>
              <w:top w:val="nil"/>
              <w:left w:val="nil"/>
              <w:bottom w:val="single" w:sz="6" w:space="0" w:color="EEEEEE"/>
              <w:right w:val="dotted" w:sz="6" w:space="0" w:color="EEEEEE"/>
            </w:tcBorders>
            <w:tcMar>
              <w:top w:w="96" w:type="dxa"/>
              <w:left w:w="96" w:type="dxa"/>
              <w:bottom w:w="96" w:type="dxa"/>
              <w:right w:w="96" w:type="dxa"/>
            </w:tcMar>
            <w:vAlign w:val="center"/>
            <w:hideMark/>
          </w:tcPr>
          <w:p w14:paraId="3EDF1801" w14:textId="77777777" w:rsidR="008D0665" w:rsidRPr="008D0665" w:rsidRDefault="008D0665" w:rsidP="008D0665">
            <w:pPr>
              <w:jc w:val="both"/>
              <w:rPr>
                <w:rFonts w:ascii="Times New Roman" w:hAnsi="Times New Roman" w:cs="Times New Roman"/>
                <w:sz w:val="26"/>
                <w:szCs w:val="26"/>
              </w:rPr>
            </w:pPr>
            <w:r w:rsidRPr="008D0665">
              <w:rPr>
                <w:rFonts w:ascii="Times New Roman" w:hAnsi="Times New Roman" w:cs="Times New Roman"/>
                <w:sz w:val="26"/>
                <w:szCs w:val="26"/>
              </w:rPr>
              <w:t>Tên sổ kế toán</w:t>
            </w:r>
          </w:p>
        </w:tc>
        <w:tc>
          <w:tcPr>
            <w:tcW w:w="0" w:type="auto"/>
            <w:tcBorders>
              <w:top w:val="nil"/>
              <w:left w:val="nil"/>
              <w:bottom w:val="single" w:sz="6" w:space="0" w:color="EEEEEE"/>
              <w:right w:val="nil"/>
            </w:tcBorders>
            <w:tcMar>
              <w:top w:w="96" w:type="dxa"/>
              <w:left w:w="96" w:type="dxa"/>
              <w:bottom w:w="96" w:type="dxa"/>
              <w:right w:w="96" w:type="dxa"/>
            </w:tcMar>
            <w:vAlign w:val="center"/>
            <w:hideMark/>
          </w:tcPr>
          <w:p w14:paraId="0FA8BEA6" w14:textId="77777777" w:rsidR="008D0665" w:rsidRPr="008D0665" w:rsidRDefault="008D0665" w:rsidP="008D0665">
            <w:pPr>
              <w:jc w:val="both"/>
              <w:rPr>
                <w:rFonts w:ascii="Times New Roman" w:hAnsi="Times New Roman" w:cs="Times New Roman"/>
                <w:sz w:val="26"/>
                <w:szCs w:val="26"/>
              </w:rPr>
            </w:pPr>
            <w:r w:rsidRPr="008D0665">
              <w:rPr>
                <w:rFonts w:ascii="Times New Roman" w:hAnsi="Times New Roman" w:cs="Times New Roman"/>
                <w:sz w:val="26"/>
                <w:szCs w:val="26"/>
              </w:rPr>
              <w:t>Ký hiệu</w:t>
            </w:r>
          </w:p>
        </w:tc>
      </w:tr>
      <w:tr w:rsidR="008D0665" w:rsidRPr="008D0665" w14:paraId="7D872719" w14:textId="77777777">
        <w:trPr>
          <w:tblCellSpacing w:w="15" w:type="dxa"/>
        </w:trPr>
        <w:tc>
          <w:tcPr>
            <w:tcW w:w="0" w:type="auto"/>
            <w:tcBorders>
              <w:top w:val="nil"/>
              <w:left w:val="nil"/>
              <w:bottom w:val="single" w:sz="6" w:space="0" w:color="EEEEEE"/>
              <w:right w:val="dotted" w:sz="6" w:space="0" w:color="EEEEEE"/>
            </w:tcBorders>
            <w:shd w:val="clear" w:color="auto" w:fill="F9F9F9"/>
            <w:tcMar>
              <w:top w:w="96" w:type="dxa"/>
              <w:left w:w="96" w:type="dxa"/>
              <w:bottom w:w="96" w:type="dxa"/>
              <w:right w:w="96" w:type="dxa"/>
            </w:tcMar>
            <w:vAlign w:val="center"/>
            <w:hideMark/>
          </w:tcPr>
          <w:p w14:paraId="2FBF244D" w14:textId="77777777" w:rsidR="008D0665" w:rsidRPr="008D0665" w:rsidRDefault="008D0665" w:rsidP="008D0665">
            <w:pPr>
              <w:jc w:val="both"/>
              <w:rPr>
                <w:rFonts w:ascii="Times New Roman" w:hAnsi="Times New Roman" w:cs="Times New Roman"/>
                <w:sz w:val="26"/>
                <w:szCs w:val="26"/>
              </w:rPr>
            </w:pPr>
            <w:r w:rsidRPr="008D0665">
              <w:rPr>
                <w:rFonts w:ascii="Times New Roman" w:hAnsi="Times New Roman" w:cs="Times New Roman"/>
                <w:sz w:val="26"/>
                <w:szCs w:val="26"/>
              </w:rPr>
              <w:t>1</w:t>
            </w:r>
          </w:p>
        </w:tc>
        <w:tc>
          <w:tcPr>
            <w:tcW w:w="0" w:type="auto"/>
            <w:tcBorders>
              <w:top w:val="nil"/>
              <w:left w:val="nil"/>
              <w:bottom w:val="single" w:sz="6" w:space="0" w:color="EEEEEE"/>
              <w:right w:val="dotted" w:sz="6" w:space="0" w:color="EEEEEE"/>
            </w:tcBorders>
            <w:shd w:val="clear" w:color="auto" w:fill="F9F9F9"/>
            <w:tcMar>
              <w:top w:w="96" w:type="dxa"/>
              <w:left w:w="96" w:type="dxa"/>
              <w:bottom w:w="96" w:type="dxa"/>
              <w:right w:w="96" w:type="dxa"/>
            </w:tcMar>
            <w:vAlign w:val="center"/>
            <w:hideMark/>
          </w:tcPr>
          <w:p w14:paraId="52E0660E" w14:textId="77777777" w:rsidR="008D0665" w:rsidRPr="008D0665" w:rsidRDefault="008D0665" w:rsidP="008D0665">
            <w:pPr>
              <w:jc w:val="both"/>
              <w:rPr>
                <w:rFonts w:ascii="Times New Roman" w:hAnsi="Times New Roman" w:cs="Times New Roman"/>
                <w:sz w:val="26"/>
                <w:szCs w:val="26"/>
              </w:rPr>
            </w:pPr>
            <w:r w:rsidRPr="008D0665">
              <w:rPr>
                <w:rFonts w:ascii="Times New Roman" w:hAnsi="Times New Roman" w:cs="Times New Roman"/>
                <w:sz w:val="26"/>
                <w:szCs w:val="26"/>
              </w:rPr>
              <w:t>Sổ theo dõi nghĩa vụ thuế GTGT với NSNN</w:t>
            </w:r>
          </w:p>
        </w:tc>
        <w:tc>
          <w:tcPr>
            <w:tcW w:w="0" w:type="auto"/>
            <w:tcBorders>
              <w:top w:val="nil"/>
              <w:left w:val="nil"/>
              <w:bottom w:val="single" w:sz="6" w:space="0" w:color="EEEEEE"/>
              <w:right w:val="nil"/>
            </w:tcBorders>
            <w:shd w:val="clear" w:color="auto" w:fill="F9F9F9"/>
            <w:tcMar>
              <w:top w:w="96" w:type="dxa"/>
              <w:left w:w="96" w:type="dxa"/>
              <w:bottom w:w="96" w:type="dxa"/>
              <w:right w:w="96" w:type="dxa"/>
            </w:tcMar>
            <w:vAlign w:val="center"/>
            <w:hideMark/>
          </w:tcPr>
          <w:p w14:paraId="05B7F6E3" w14:textId="77777777" w:rsidR="008D0665" w:rsidRPr="008D0665" w:rsidRDefault="008D0665" w:rsidP="008D0665">
            <w:pPr>
              <w:jc w:val="both"/>
              <w:rPr>
                <w:rFonts w:ascii="Times New Roman" w:hAnsi="Times New Roman" w:cs="Times New Roman"/>
                <w:sz w:val="26"/>
                <w:szCs w:val="26"/>
              </w:rPr>
            </w:pPr>
            <w:r w:rsidRPr="008D0665">
              <w:rPr>
                <w:rFonts w:ascii="Times New Roman" w:hAnsi="Times New Roman" w:cs="Times New Roman"/>
                <w:sz w:val="26"/>
                <w:szCs w:val="26"/>
              </w:rPr>
              <w:t>Mẫu số S2b- HKD</w:t>
            </w:r>
          </w:p>
        </w:tc>
      </w:tr>
      <w:tr w:rsidR="008D0665" w:rsidRPr="008D0665" w14:paraId="203840D8" w14:textId="77777777">
        <w:trPr>
          <w:tblCellSpacing w:w="15" w:type="dxa"/>
        </w:trPr>
        <w:tc>
          <w:tcPr>
            <w:tcW w:w="0" w:type="auto"/>
            <w:tcBorders>
              <w:top w:val="nil"/>
              <w:left w:val="nil"/>
              <w:bottom w:val="nil"/>
              <w:right w:val="dotted" w:sz="6" w:space="0" w:color="EEEEEE"/>
            </w:tcBorders>
            <w:tcMar>
              <w:top w:w="96" w:type="dxa"/>
              <w:left w:w="96" w:type="dxa"/>
              <w:bottom w:w="96" w:type="dxa"/>
              <w:right w:w="96" w:type="dxa"/>
            </w:tcMar>
            <w:vAlign w:val="center"/>
            <w:hideMark/>
          </w:tcPr>
          <w:p w14:paraId="44F3D29B" w14:textId="77777777" w:rsidR="008D0665" w:rsidRPr="008D0665" w:rsidRDefault="008D0665" w:rsidP="008D0665">
            <w:pPr>
              <w:jc w:val="both"/>
              <w:rPr>
                <w:rFonts w:ascii="Times New Roman" w:hAnsi="Times New Roman" w:cs="Times New Roman"/>
                <w:sz w:val="26"/>
                <w:szCs w:val="26"/>
              </w:rPr>
            </w:pPr>
            <w:r w:rsidRPr="008D0665">
              <w:rPr>
                <w:rFonts w:ascii="Times New Roman" w:hAnsi="Times New Roman" w:cs="Times New Roman"/>
                <w:sz w:val="26"/>
                <w:szCs w:val="26"/>
              </w:rPr>
              <w:t>2</w:t>
            </w:r>
          </w:p>
        </w:tc>
        <w:tc>
          <w:tcPr>
            <w:tcW w:w="0" w:type="auto"/>
            <w:tcBorders>
              <w:top w:val="nil"/>
              <w:left w:val="nil"/>
              <w:bottom w:val="nil"/>
              <w:right w:val="dotted" w:sz="6" w:space="0" w:color="EEEEEE"/>
            </w:tcBorders>
            <w:tcMar>
              <w:top w:w="96" w:type="dxa"/>
              <w:left w:w="96" w:type="dxa"/>
              <w:bottom w:w="96" w:type="dxa"/>
              <w:right w:w="96" w:type="dxa"/>
            </w:tcMar>
            <w:vAlign w:val="center"/>
            <w:hideMark/>
          </w:tcPr>
          <w:p w14:paraId="58E36D22" w14:textId="77777777" w:rsidR="008D0665" w:rsidRPr="008D0665" w:rsidRDefault="008D0665" w:rsidP="008D0665">
            <w:pPr>
              <w:jc w:val="both"/>
              <w:rPr>
                <w:rFonts w:ascii="Times New Roman" w:hAnsi="Times New Roman" w:cs="Times New Roman"/>
                <w:sz w:val="26"/>
                <w:szCs w:val="26"/>
              </w:rPr>
            </w:pPr>
            <w:r w:rsidRPr="008D0665">
              <w:rPr>
                <w:rFonts w:ascii="Times New Roman" w:hAnsi="Times New Roman" w:cs="Times New Roman"/>
                <w:sz w:val="26"/>
                <w:szCs w:val="26"/>
              </w:rPr>
              <w:t>Sổ chi tiết doanh thu bán hàng hóa, dịch vụ</w:t>
            </w:r>
          </w:p>
        </w:tc>
        <w:tc>
          <w:tcPr>
            <w:tcW w:w="0" w:type="auto"/>
            <w:tcBorders>
              <w:top w:val="nil"/>
              <w:left w:val="nil"/>
              <w:bottom w:val="nil"/>
              <w:right w:val="nil"/>
            </w:tcBorders>
            <w:tcMar>
              <w:top w:w="96" w:type="dxa"/>
              <w:left w:w="96" w:type="dxa"/>
              <w:bottom w:w="96" w:type="dxa"/>
              <w:right w:w="96" w:type="dxa"/>
            </w:tcMar>
            <w:vAlign w:val="center"/>
            <w:hideMark/>
          </w:tcPr>
          <w:p w14:paraId="27DE8F9D" w14:textId="77777777" w:rsidR="008D0665" w:rsidRPr="008D0665" w:rsidRDefault="008D0665" w:rsidP="008D0665">
            <w:pPr>
              <w:jc w:val="both"/>
              <w:rPr>
                <w:rFonts w:ascii="Times New Roman" w:hAnsi="Times New Roman" w:cs="Times New Roman"/>
                <w:sz w:val="26"/>
                <w:szCs w:val="26"/>
              </w:rPr>
            </w:pPr>
            <w:r w:rsidRPr="008D0665">
              <w:rPr>
                <w:rFonts w:ascii="Times New Roman" w:hAnsi="Times New Roman" w:cs="Times New Roman"/>
                <w:sz w:val="26"/>
                <w:szCs w:val="26"/>
              </w:rPr>
              <w:t>Mẫu số S2a- HKD</w:t>
            </w:r>
          </w:p>
        </w:tc>
      </w:tr>
    </w:tbl>
    <w:p w14:paraId="291C6AE6" w14:textId="77777777" w:rsidR="008D0665" w:rsidRPr="008D0665" w:rsidRDefault="008D0665" w:rsidP="008D0665">
      <w:pPr>
        <w:jc w:val="both"/>
        <w:rPr>
          <w:rFonts w:ascii="Times New Roman" w:hAnsi="Times New Roman" w:cs="Times New Roman"/>
          <w:sz w:val="26"/>
          <w:szCs w:val="26"/>
        </w:rPr>
      </w:pPr>
      <w:r w:rsidRPr="008D0665">
        <w:rPr>
          <w:rFonts w:ascii="Times New Roman" w:hAnsi="Times New Roman" w:cs="Times New Roman"/>
          <w:sz w:val="26"/>
          <w:szCs w:val="26"/>
        </w:rPr>
        <w:t>Biểu mẫu Sổ theo dõi nghĩa vụ thuế GTGT với NSNN:</w:t>
      </w:r>
    </w:p>
    <w:p w14:paraId="423DB785" w14:textId="77777777" w:rsidR="008D0665" w:rsidRPr="008D0665" w:rsidRDefault="008D0665" w:rsidP="008D0665">
      <w:pPr>
        <w:jc w:val="both"/>
        <w:rPr>
          <w:rFonts w:ascii="Times New Roman" w:hAnsi="Times New Roman" w:cs="Times New Roman"/>
          <w:sz w:val="26"/>
          <w:szCs w:val="26"/>
        </w:rPr>
      </w:pPr>
      <w:r w:rsidRPr="008D0665">
        <w:rPr>
          <w:rFonts w:ascii="Times New Roman" w:hAnsi="Times New Roman" w:cs="Times New Roman"/>
          <w:sz w:val="26"/>
          <w:szCs w:val="26"/>
        </w:rPr>
        <w:t>Hộ kinh doanh, cá nhân kinh doanh sử dụng Sổ theo dõi nghĩa vụ thuế GTGT với NSNN sau đây để làm căn cứ xác định nghĩa vụ thuế GTGT:</w:t>
      </w:r>
    </w:p>
    <w:p w14:paraId="54B64B79" w14:textId="77777777" w:rsidR="008D0665" w:rsidRPr="008D0665" w:rsidRDefault="008D0665" w:rsidP="008D0665">
      <w:pPr>
        <w:jc w:val="both"/>
        <w:rPr>
          <w:rFonts w:ascii="Times New Roman" w:hAnsi="Times New Roman" w:cs="Times New Roman"/>
          <w:sz w:val="26"/>
          <w:szCs w:val="26"/>
        </w:rPr>
      </w:pPr>
      <w:r w:rsidRPr="008D0665">
        <w:rPr>
          <w:rFonts w:ascii="Times New Roman" w:hAnsi="Times New Roman" w:cs="Times New Roman"/>
          <w:sz w:val="26"/>
          <w:szCs w:val="26"/>
        </w:rPr>
        <w:lastRenderedPageBreak/>
        <w:t>Biểu mẫu Sổ theo dõi nghĩa vụ thuế GTGT với NSNN</w:t>
      </w:r>
    </w:p>
    <w:p w14:paraId="707A38D8" w14:textId="77777777" w:rsidR="008D0665" w:rsidRPr="008D0665" w:rsidRDefault="008D0665" w:rsidP="008D0665">
      <w:pPr>
        <w:jc w:val="both"/>
        <w:rPr>
          <w:rFonts w:ascii="Times New Roman" w:hAnsi="Times New Roman" w:cs="Times New Roman"/>
          <w:sz w:val="26"/>
          <w:szCs w:val="26"/>
        </w:rPr>
      </w:pPr>
      <w:r w:rsidRPr="008D0665">
        <w:rPr>
          <w:rFonts w:ascii="Times New Roman" w:hAnsi="Times New Roman" w:cs="Times New Roman"/>
          <w:sz w:val="26"/>
          <w:szCs w:val="26"/>
        </w:rPr>
        <w:t>Căn cứ và phương pháp ghi sổ:</w:t>
      </w:r>
    </w:p>
    <w:p w14:paraId="1BE3B925" w14:textId="77777777" w:rsidR="008D0665" w:rsidRPr="008D0665" w:rsidRDefault="008D0665" w:rsidP="008D0665">
      <w:pPr>
        <w:jc w:val="both"/>
        <w:rPr>
          <w:rFonts w:ascii="Times New Roman" w:hAnsi="Times New Roman" w:cs="Times New Roman"/>
          <w:sz w:val="26"/>
          <w:szCs w:val="26"/>
        </w:rPr>
      </w:pPr>
      <w:r w:rsidRPr="008D0665">
        <w:rPr>
          <w:rFonts w:ascii="Times New Roman" w:hAnsi="Times New Roman" w:cs="Times New Roman"/>
          <w:sz w:val="26"/>
          <w:szCs w:val="26"/>
        </w:rPr>
        <w:t>– Cột A, B: Ghi số hiệu, ngày tháng của hóa đơn GTGT;</w:t>
      </w:r>
    </w:p>
    <w:p w14:paraId="0A4291E4" w14:textId="77777777" w:rsidR="008D0665" w:rsidRPr="008D0665" w:rsidRDefault="008D0665" w:rsidP="008D0665">
      <w:pPr>
        <w:jc w:val="both"/>
        <w:rPr>
          <w:rFonts w:ascii="Times New Roman" w:hAnsi="Times New Roman" w:cs="Times New Roman"/>
          <w:sz w:val="26"/>
          <w:szCs w:val="26"/>
        </w:rPr>
      </w:pPr>
      <w:r w:rsidRPr="008D0665">
        <w:rPr>
          <w:rFonts w:ascii="Times New Roman" w:hAnsi="Times New Roman" w:cs="Times New Roman"/>
          <w:sz w:val="26"/>
          <w:szCs w:val="26"/>
        </w:rPr>
        <w:t>– Cột C: Ghi nội dung nghiệp vụ kinh tế phát sinh. Trong đó: Số dư đầu kỳ được căn cứ vào số dư cuối kỳ trước chuyển sang;</w:t>
      </w:r>
    </w:p>
    <w:p w14:paraId="36E39C50" w14:textId="77777777" w:rsidR="008D0665" w:rsidRPr="008D0665" w:rsidRDefault="008D0665" w:rsidP="008D0665">
      <w:pPr>
        <w:jc w:val="both"/>
        <w:rPr>
          <w:rFonts w:ascii="Times New Roman" w:hAnsi="Times New Roman" w:cs="Times New Roman"/>
          <w:sz w:val="26"/>
          <w:szCs w:val="26"/>
        </w:rPr>
      </w:pPr>
      <w:r w:rsidRPr="008D0665">
        <w:rPr>
          <w:rFonts w:ascii="Times New Roman" w:hAnsi="Times New Roman" w:cs="Times New Roman"/>
          <w:sz w:val="26"/>
          <w:szCs w:val="26"/>
        </w:rPr>
        <w:t>– Cột 1: Phản ánh số thuế GTGT đầu vào của hàng hóa, dịch vụ mua vào;</w:t>
      </w:r>
    </w:p>
    <w:p w14:paraId="54F083A6" w14:textId="77777777" w:rsidR="008D0665" w:rsidRPr="008D0665" w:rsidRDefault="008D0665" w:rsidP="008D0665">
      <w:pPr>
        <w:jc w:val="both"/>
        <w:rPr>
          <w:rFonts w:ascii="Times New Roman" w:hAnsi="Times New Roman" w:cs="Times New Roman"/>
          <w:sz w:val="26"/>
          <w:szCs w:val="26"/>
        </w:rPr>
      </w:pPr>
      <w:r w:rsidRPr="008D0665">
        <w:rPr>
          <w:rFonts w:ascii="Times New Roman" w:hAnsi="Times New Roman" w:cs="Times New Roman"/>
          <w:sz w:val="26"/>
          <w:szCs w:val="26"/>
        </w:rPr>
        <w:t>– Cột 2: Phản ánh số thuế GTGT đầu ra của hàng hóa, dịch vụ bán ra;</w:t>
      </w:r>
    </w:p>
    <w:p w14:paraId="29F7684C" w14:textId="77777777" w:rsidR="008D0665" w:rsidRPr="008D0665" w:rsidRDefault="008D0665" w:rsidP="008D0665">
      <w:pPr>
        <w:jc w:val="both"/>
        <w:rPr>
          <w:rFonts w:ascii="Times New Roman" w:hAnsi="Times New Roman" w:cs="Times New Roman"/>
          <w:sz w:val="26"/>
          <w:szCs w:val="26"/>
        </w:rPr>
      </w:pPr>
      <w:r w:rsidRPr="008D0665">
        <w:rPr>
          <w:rFonts w:ascii="Times New Roman" w:hAnsi="Times New Roman" w:cs="Times New Roman"/>
          <w:sz w:val="26"/>
          <w:szCs w:val="26"/>
        </w:rPr>
        <w:t>– Cột 3: Phản ánh số thuế GTGT được hoàn;</w:t>
      </w:r>
    </w:p>
    <w:p w14:paraId="13690228" w14:textId="77777777" w:rsidR="008D0665" w:rsidRPr="008D0665" w:rsidRDefault="008D0665" w:rsidP="008D0665">
      <w:pPr>
        <w:jc w:val="both"/>
        <w:rPr>
          <w:rFonts w:ascii="Times New Roman" w:hAnsi="Times New Roman" w:cs="Times New Roman"/>
          <w:sz w:val="26"/>
          <w:szCs w:val="26"/>
        </w:rPr>
      </w:pPr>
      <w:r w:rsidRPr="008D0665">
        <w:rPr>
          <w:rFonts w:ascii="Times New Roman" w:hAnsi="Times New Roman" w:cs="Times New Roman"/>
          <w:sz w:val="26"/>
          <w:szCs w:val="26"/>
        </w:rPr>
        <w:t>– Cột 4: Phản ánh số thuế GTGT được khấu trừ;</w:t>
      </w:r>
    </w:p>
    <w:p w14:paraId="3E846424" w14:textId="77777777" w:rsidR="008D0665" w:rsidRPr="008D0665" w:rsidRDefault="008D0665" w:rsidP="008D0665">
      <w:pPr>
        <w:jc w:val="both"/>
        <w:rPr>
          <w:rFonts w:ascii="Times New Roman" w:hAnsi="Times New Roman" w:cs="Times New Roman"/>
          <w:sz w:val="26"/>
          <w:szCs w:val="26"/>
        </w:rPr>
      </w:pPr>
      <w:r w:rsidRPr="008D0665">
        <w:rPr>
          <w:rFonts w:ascii="Times New Roman" w:hAnsi="Times New Roman" w:cs="Times New Roman"/>
          <w:sz w:val="26"/>
          <w:szCs w:val="26"/>
        </w:rPr>
        <w:t>– Cột 5: Phản ánh số thuế GTGT phải nộp;</w:t>
      </w:r>
    </w:p>
    <w:p w14:paraId="780287F9" w14:textId="77777777" w:rsidR="008D0665" w:rsidRPr="008D0665" w:rsidRDefault="008D0665" w:rsidP="008D0665">
      <w:pPr>
        <w:jc w:val="both"/>
        <w:rPr>
          <w:rFonts w:ascii="Times New Roman" w:hAnsi="Times New Roman" w:cs="Times New Roman"/>
          <w:sz w:val="26"/>
          <w:szCs w:val="26"/>
        </w:rPr>
      </w:pPr>
      <w:r w:rsidRPr="008D0665">
        <w:rPr>
          <w:rFonts w:ascii="Times New Roman" w:hAnsi="Times New Roman" w:cs="Times New Roman"/>
          <w:sz w:val="26"/>
          <w:szCs w:val="26"/>
        </w:rPr>
        <w:t>– Cột 6: Phản ánh số thuế GTGT đã nộp trong kỳ.</w:t>
      </w:r>
    </w:p>
    <w:p w14:paraId="142765ED" w14:textId="77777777" w:rsidR="008D0665" w:rsidRPr="008D0665" w:rsidRDefault="008D0665" w:rsidP="008D0665">
      <w:pPr>
        <w:jc w:val="both"/>
        <w:rPr>
          <w:rFonts w:ascii="Times New Roman" w:hAnsi="Times New Roman" w:cs="Times New Roman"/>
          <w:sz w:val="26"/>
          <w:szCs w:val="26"/>
        </w:rPr>
      </w:pPr>
      <w:r w:rsidRPr="008D0665">
        <w:rPr>
          <w:rFonts w:ascii="Times New Roman" w:hAnsi="Times New Roman" w:cs="Times New Roman"/>
          <w:sz w:val="26"/>
          <w:szCs w:val="26"/>
        </w:rPr>
        <w:t>Hộ kinh doanh, cá nhân kinh doanh sử dụng Sổ chi tiết doanh thu bán hàng hóa, dịch vụ theo mẫu số S2a-HKD nêu trên (trừ cột 4,5- Thuế GTGT) để làm căn cứ xác định nghĩa vụ thuế TNCN với NSNN.</w:t>
      </w:r>
    </w:p>
    <w:p w14:paraId="467E0259" w14:textId="77777777" w:rsidR="008D0665" w:rsidRPr="008D0665" w:rsidRDefault="008D0665" w:rsidP="008D0665">
      <w:pPr>
        <w:jc w:val="both"/>
        <w:rPr>
          <w:rFonts w:ascii="Times New Roman" w:hAnsi="Times New Roman" w:cs="Times New Roman"/>
          <w:sz w:val="26"/>
          <w:szCs w:val="26"/>
        </w:rPr>
      </w:pPr>
      <w:r w:rsidRPr="008D0665">
        <w:rPr>
          <w:rFonts w:ascii="Times New Roman" w:hAnsi="Times New Roman" w:cs="Times New Roman"/>
          <w:sz w:val="26"/>
          <w:szCs w:val="26"/>
        </w:rPr>
        <w:t>3.3. Hộ kinh doanh có doanh thu trên 3 tỷ đồng</w:t>
      </w:r>
    </w:p>
    <w:p w14:paraId="6B2CF495" w14:textId="77777777" w:rsidR="008D0665" w:rsidRPr="008D0665" w:rsidRDefault="008D0665" w:rsidP="008D0665">
      <w:pPr>
        <w:jc w:val="both"/>
        <w:rPr>
          <w:rFonts w:ascii="Times New Roman" w:hAnsi="Times New Roman" w:cs="Times New Roman"/>
          <w:sz w:val="26"/>
          <w:szCs w:val="26"/>
        </w:rPr>
      </w:pPr>
      <w:r w:rsidRPr="008D0665">
        <w:rPr>
          <w:rFonts w:ascii="Times New Roman" w:hAnsi="Times New Roman" w:cs="Times New Roman"/>
          <w:sz w:val="26"/>
          <w:szCs w:val="26"/>
        </w:rPr>
        <w:t>Theo dự thảo, hộ kinh doanh, cá nhân kinh doanh có doanh thu trên 3 tỷ đồng thực hiện kế toán theo hai tình huống:</w:t>
      </w:r>
    </w:p>
    <w:p w14:paraId="36AFF9AE" w14:textId="77777777" w:rsidR="008D0665" w:rsidRPr="008D0665" w:rsidRDefault="008D0665" w:rsidP="008D0665">
      <w:pPr>
        <w:jc w:val="both"/>
        <w:rPr>
          <w:rFonts w:ascii="Times New Roman" w:hAnsi="Times New Roman" w:cs="Times New Roman"/>
          <w:sz w:val="26"/>
          <w:szCs w:val="26"/>
        </w:rPr>
      </w:pPr>
      <w:r w:rsidRPr="008D0665">
        <w:rPr>
          <w:rFonts w:ascii="Times New Roman" w:hAnsi="Times New Roman" w:cs="Times New Roman"/>
          <w:sz w:val="26"/>
          <w:szCs w:val="26"/>
        </w:rPr>
        <w:t>– Hộ kinh doanh, cá nhân kinh doanh nộp thuế giá trị gia tăng (GTGT) và thuế TNCN theo tỷ lệ % trên doanh thu (Điều 5).</w:t>
      </w:r>
    </w:p>
    <w:p w14:paraId="180A644D" w14:textId="77777777" w:rsidR="008D0665" w:rsidRPr="008D0665" w:rsidRDefault="008D0665" w:rsidP="008D0665">
      <w:pPr>
        <w:jc w:val="both"/>
        <w:rPr>
          <w:rFonts w:ascii="Times New Roman" w:hAnsi="Times New Roman" w:cs="Times New Roman"/>
          <w:sz w:val="26"/>
          <w:szCs w:val="26"/>
        </w:rPr>
      </w:pPr>
      <w:r w:rsidRPr="008D0665">
        <w:rPr>
          <w:rFonts w:ascii="Times New Roman" w:hAnsi="Times New Roman" w:cs="Times New Roman"/>
          <w:sz w:val="26"/>
          <w:szCs w:val="26"/>
        </w:rPr>
        <w:t>– Hộ kinh doanh, cá nhân kinh doanh nộp thuế GTGT theo phương pháp khấu trừ và thuế TNCN theo tỷ lệ % trên doanh thu (Điều 6).</w:t>
      </w:r>
    </w:p>
    <w:p w14:paraId="61B69A83" w14:textId="77777777" w:rsidR="008D0665" w:rsidRPr="008D0665" w:rsidRDefault="008D0665" w:rsidP="008D0665">
      <w:pPr>
        <w:jc w:val="both"/>
        <w:rPr>
          <w:rFonts w:ascii="Times New Roman" w:hAnsi="Times New Roman" w:cs="Times New Roman"/>
          <w:sz w:val="26"/>
          <w:szCs w:val="26"/>
        </w:rPr>
      </w:pPr>
      <w:r w:rsidRPr="008D0665">
        <w:rPr>
          <w:rFonts w:ascii="Times New Roman" w:hAnsi="Times New Roman" w:cs="Times New Roman"/>
          <w:sz w:val="26"/>
          <w:szCs w:val="26"/>
        </w:rPr>
        <w:t>4. Kế toán tại hộ kinh doanh, cá nhân kinh doanh có hoạt động cho thuê tài sản, hoạt động thương mại điện tử</w:t>
      </w:r>
    </w:p>
    <w:p w14:paraId="35528ACD" w14:textId="77777777" w:rsidR="008D0665" w:rsidRPr="008D0665" w:rsidRDefault="008D0665" w:rsidP="008D0665">
      <w:pPr>
        <w:jc w:val="both"/>
        <w:rPr>
          <w:rFonts w:ascii="Times New Roman" w:hAnsi="Times New Roman" w:cs="Times New Roman"/>
          <w:sz w:val="26"/>
          <w:szCs w:val="26"/>
        </w:rPr>
      </w:pPr>
      <w:r w:rsidRPr="008D0665">
        <w:rPr>
          <w:rFonts w:ascii="Times New Roman" w:hAnsi="Times New Roman" w:cs="Times New Roman"/>
          <w:sz w:val="26"/>
          <w:szCs w:val="26"/>
        </w:rPr>
        <w:t>Dự thảo nêu rõ, trường hợp hộ kinh doanh, cá nhân kinh doanh có hoạt động cho thuê tài sản, hoạt động thương mại điện tử nộp thuế GTGT theo tỷ lệ % trên doanh thu và số thuế TNCN phải nộp được xác định bằng thuế suất nhân doanh thu, hộ kinh doanh, cá nhân kinh doanh sử dụng sổ kế toán (mẫu số S2a-HKD) theo hướng dẫn nêu trên để làm căn cứ xác định nghĩa vụ thuế GTGT, TNCN với NSNN.</w:t>
      </w:r>
    </w:p>
    <w:p w14:paraId="3AA3B3F0" w14:textId="77777777" w:rsidR="008D0665" w:rsidRPr="008D0665" w:rsidRDefault="008D0665" w:rsidP="008D0665">
      <w:pPr>
        <w:jc w:val="both"/>
        <w:rPr>
          <w:rFonts w:ascii="Times New Roman" w:hAnsi="Times New Roman" w:cs="Times New Roman"/>
          <w:sz w:val="26"/>
          <w:szCs w:val="26"/>
        </w:rPr>
      </w:pPr>
      <w:r w:rsidRPr="008D0665">
        <w:rPr>
          <w:rFonts w:ascii="Times New Roman" w:hAnsi="Times New Roman" w:cs="Times New Roman"/>
          <w:sz w:val="26"/>
          <w:szCs w:val="26"/>
        </w:rPr>
        <w:lastRenderedPageBreak/>
        <w:t>Dự thảo Thông tư hướng dẫn kế toán cho hộ kinh doanh, cá nhân kinh doanh cho thấy xu hướng chuẩn hóa và minh bạch hóa công tác kế toán – thuế, đồng thời yêu cầu người kinh doanh cần hiểu rõ cách ghi sổ và thực hiện nghĩa vụ thuế theo từng mức doanh thu.</w:t>
      </w:r>
    </w:p>
    <w:p w14:paraId="353AD362" w14:textId="77777777" w:rsidR="008D0665" w:rsidRPr="008D0665" w:rsidRDefault="008D0665" w:rsidP="008D0665">
      <w:pPr>
        <w:jc w:val="both"/>
        <w:rPr>
          <w:rFonts w:ascii="Times New Roman" w:hAnsi="Times New Roman" w:cs="Times New Roman"/>
          <w:sz w:val="26"/>
          <w:szCs w:val="26"/>
        </w:rPr>
      </w:pPr>
      <w:r w:rsidRPr="008D0665">
        <w:rPr>
          <w:rFonts w:ascii="Times New Roman" w:hAnsi="Times New Roman" w:cs="Times New Roman"/>
          <w:sz w:val="26"/>
          <w:szCs w:val="26"/>
        </w:rPr>
        <w:t>Trong quá trình tiếp cận và áp dụng các quy định mới, ACA đồng hành cùng người học thông qua các chương trình đào tạo và chia sẻ kiến thức kế toán – thuế, đặc biệt là kế toán cho hộ kinh doanh, theo hướng thực tiễn và bám sát quy định pháp luật. Việc hiểu đúng và áp dụng đúng kế toán cho hộ kinh doanh giúp người học từng bước nắm rõ nghiệp vụ, hạn chế sai sót và triển khai phù hợp với từng mô hình kinh doanh cụ thể. Để cập nhật thông tin mới nhất về kế toán cho hộ kinh doanh và các hướng dẫn liên quan, bạn có thể theo dõi các kênh chính thức của ACA.</w:t>
      </w:r>
    </w:p>
    <w:p w14:paraId="2CCC1E3C" w14:textId="77777777" w:rsidR="008D0665" w:rsidRPr="008D0665" w:rsidRDefault="008D0665" w:rsidP="008D0665">
      <w:pPr>
        <w:jc w:val="both"/>
        <w:rPr>
          <w:rFonts w:ascii="Times New Roman" w:hAnsi="Times New Roman" w:cs="Times New Roman"/>
          <w:sz w:val="26"/>
          <w:szCs w:val="26"/>
        </w:rPr>
      </w:pPr>
      <w:r w:rsidRPr="008D0665">
        <w:rPr>
          <w:rFonts w:ascii="Times New Roman" w:hAnsi="Times New Roman" w:cs="Times New Roman"/>
          <w:sz w:val="26"/>
          <w:szCs w:val="26"/>
        </w:rPr>
        <w:t>Bên cạnh việc cập nhật văn bản pháp lý, việc xây dựng nền tảng kế toán cho hộ kinh doanh một cách bài bản ngay từ đầu đóng vai trò quan trọng trong việc kiểm soát sổ sách, dòng tiền và nghĩa vụ thuế. Khi nắm vững kế toán cho hộ kinh doanh, người học, kế toán đang làm việc cho hộ kinh doanh và chủ hộ kinh doanh có thể chủ động tuân thủ quy định, tối ưu chi phí và thích ứng hiệu quả với môi trường quản lý thuế ngày càng chặt chẽ.</w:t>
      </w:r>
    </w:p>
    <w:p w14:paraId="5453204C" w14:textId="77777777" w:rsidR="00AF4FD8" w:rsidRPr="008D0665" w:rsidRDefault="00AF4FD8" w:rsidP="008D0665">
      <w:pPr>
        <w:jc w:val="both"/>
        <w:rPr>
          <w:rFonts w:ascii="Times New Roman" w:hAnsi="Times New Roman" w:cs="Times New Roman"/>
          <w:sz w:val="26"/>
          <w:szCs w:val="26"/>
        </w:rPr>
      </w:pPr>
    </w:p>
    <w:sectPr w:rsidR="00AF4FD8" w:rsidRPr="008D06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665"/>
    <w:rsid w:val="00006EAD"/>
    <w:rsid w:val="0033541C"/>
    <w:rsid w:val="00563ABD"/>
    <w:rsid w:val="0075014B"/>
    <w:rsid w:val="008D0665"/>
    <w:rsid w:val="00AF4F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3C345"/>
  <w15:chartTrackingRefBased/>
  <w15:docId w15:val="{8F52D5E9-9980-4F7E-8177-A2C427620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066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8D066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8D066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8D066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D066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D06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06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06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06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066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8D066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8D066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8D066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D066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D06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06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06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0665"/>
    <w:rPr>
      <w:rFonts w:eastAsiaTheme="majorEastAsia" w:cstheme="majorBidi"/>
      <w:color w:val="272727" w:themeColor="text1" w:themeTint="D8"/>
    </w:rPr>
  </w:style>
  <w:style w:type="paragraph" w:styleId="Title">
    <w:name w:val="Title"/>
    <w:basedOn w:val="Normal"/>
    <w:next w:val="Normal"/>
    <w:link w:val="TitleChar"/>
    <w:uiPriority w:val="10"/>
    <w:qFormat/>
    <w:rsid w:val="008D06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06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06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06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0665"/>
    <w:pPr>
      <w:spacing w:before="160"/>
      <w:jc w:val="center"/>
    </w:pPr>
    <w:rPr>
      <w:i/>
      <w:iCs/>
      <w:color w:val="404040" w:themeColor="text1" w:themeTint="BF"/>
    </w:rPr>
  </w:style>
  <w:style w:type="character" w:customStyle="1" w:styleId="QuoteChar">
    <w:name w:val="Quote Char"/>
    <w:basedOn w:val="DefaultParagraphFont"/>
    <w:link w:val="Quote"/>
    <w:uiPriority w:val="29"/>
    <w:rsid w:val="008D0665"/>
    <w:rPr>
      <w:i/>
      <w:iCs/>
      <w:color w:val="404040" w:themeColor="text1" w:themeTint="BF"/>
    </w:rPr>
  </w:style>
  <w:style w:type="paragraph" w:styleId="ListParagraph">
    <w:name w:val="List Paragraph"/>
    <w:basedOn w:val="Normal"/>
    <w:uiPriority w:val="34"/>
    <w:qFormat/>
    <w:rsid w:val="008D0665"/>
    <w:pPr>
      <w:ind w:left="720"/>
      <w:contextualSpacing/>
    </w:pPr>
  </w:style>
  <w:style w:type="character" w:styleId="IntenseEmphasis">
    <w:name w:val="Intense Emphasis"/>
    <w:basedOn w:val="DefaultParagraphFont"/>
    <w:uiPriority w:val="21"/>
    <w:qFormat/>
    <w:rsid w:val="008D0665"/>
    <w:rPr>
      <w:i/>
      <w:iCs/>
      <w:color w:val="2F5496" w:themeColor="accent1" w:themeShade="BF"/>
    </w:rPr>
  </w:style>
  <w:style w:type="paragraph" w:styleId="IntenseQuote">
    <w:name w:val="Intense Quote"/>
    <w:basedOn w:val="Normal"/>
    <w:next w:val="Normal"/>
    <w:link w:val="IntenseQuoteChar"/>
    <w:uiPriority w:val="30"/>
    <w:qFormat/>
    <w:rsid w:val="008D06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D0665"/>
    <w:rPr>
      <w:i/>
      <w:iCs/>
      <w:color w:val="2F5496" w:themeColor="accent1" w:themeShade="BF"/>
    </w:rPr>
  </w:style>
  <w:style w:type="character" w:styleId="IntenseReference">
    <w:name w:val="Intense Reference"/>
    <w:basedOn w:val="DefaultParagraphFont"/>
    <w:uiPriority w:val="32"/>
    <w:qFormat/>
    <w:rsid w:val="008D0665"/>
    <w:rPr>
      <w:b/>
      <w:bCs/>
      <w:smallCaps/>
      <w:color w:val="2F5496" w:themeColor="accent1" w:themeShade="BF"/>
      <w:spacing w:val="5"/>
    </w:rPr>
  </w:style>
  <w:style w:type="paragraph" w:styleId="NormalWeb">
    <w:name w:val="Normal (Web)"/>
    <w:basedOn w:val="Normal"/>
    <w:uiPriority w:val="99"/>
    <w:semiHidden/>
    <w:unhideWhenUsed/>
    <w:rsid w:val="008D0665"/>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920</Words>
  <Characters>5250</Characters>
  <Application>Microsoft Office Word</Application>
  <DocSecurity>0</DocSecurity>
  <Lines>43</Lines>
  <Paragraphs>12</Paragraphs>
  <ScaleCrop>false</ScaleCrop>
  <Company/>
  <LinksUpToDate>false</LinksUpToDate>
  <CharactersWithSpaces>6158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Lê Nhân Nguyễn</dc:creator>
  <cp:keywords/>
  <dc:description/>
  <cp:lastModifiedBy>Lê Nhân Nguyễn</cp:lastModifiedBy>
  <cp:revision>1</cp:revision>
  <dcterms:created xsi:type="dcterms:W3CDTF">2026-01-16T07:36:00Z</dcterms:created>
  <dcterms:modified xsi:type="dcterms:W3CDTF">2026-01-16T07:38:00Z</dcterms:modified>
</cp:coreProperties>
</file>