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8ED4F" w14:textId="2BB3416E" w:rsidR="00C86A64" w:rsidRPr="00C86A64" w:rsidRDefault="00C86A64" w:rsidP="00C86A64">
      <w:pPr>
        <w:spacing w:line="360" w:lineRule="auto"/>
        <w:jc w:val="center"/>
        <w:outlineLvl w:val="1"/>
        <w:rPr>
          <w:rFonts w:ascii="Times New Roman" w:eastAsia="Times New Roman" w:hAnsi="Times New Roman" w:cs="Times New Roman"/>
          <w:b/>
          <w:bCs/>
          <w:color w:val="000000" w:themeColor="text1"/>
          <w:sz w:val="40"/>
          <w:szCs w:val="40"/>
          <w:lang w:val="vi-VN"/>
        </w:rPr>
      </w:pPr>
      <w:r w:rsidRPr="00C86A64">
        <w:rPr>
          <w:rFonts w:ascii="Times New Roman" w:eastAsia="Times New Roman" w:hAnsi="Times New Roman" w:cs="Times New Roman"/>
          <w:b/>
          <w:bCs/>
          <w:color w:val="000000" w:themeColor="text1"/>
          <w:sz w:val="40"/>
          <w:szCs w:val="40"/>
        </w:rPr>
        <w:t xml:space="preserve">Danh sách những khoản thu nhập chịu thuế TNDN </w:t>
      </w:r>
      <w:r w:rsidRPr="00C86A64">
        <w:rPr>
          <w:rFonts w:ascii="Times New Roman" w:eastAsia="Times New Roman" w:hAnsi="Times New Roman" w:cs="Times New Roman"/>
          <w:b/>
          <w:bCs/>
          <w:color w:val="000000" w:themeColor="text1"/>
          <w:sz w:val="40"/>
          <w:szCs w:val="40"/>
        </w:rPr>
        <w:t>và</w:t>
      </w:r>
      <w:r w:rsidRPr="00C86A64">
        <w:rPr>
          <w:rFonts w:ascii="Times New Roman" w:eastAsia="Times New Roman" w:hAnsi="Times New Roman" w:cs="Times New Roman"/>
          <w:b/>
          <w:bCs/>
          <w:color w:val="000000" w:themeColor="text1"/>
          <w:sz w:val="40"/>
          <w:szCs w:val="40"/>
          <w:lang w:val="vi-VN"/>
        </w:rPr>
        <w:t xml:space="preserve"> mức thuế suất áp dụng năm 2025</w:t>
      </w:r>
    </w:p>
    <w:p w14:paraId="16E1F3A1" w14:textId="1E0F424D" w:rsidR="00C86A64" w:rsidRPr="00C86A64" w:rsidRDefault="00C86A64" w:rsidP="00C86A64">
      <w:pPr>
        <w:spacing w:line="360" w:lineRule="auto"/>
        <w:jc w:val="both"/>
        <w:outlineLvl w:val="1"/>
        <w:rPr>
          <w:rFonts w:ascii="Times New Roman" w:eastAsia="Times New Roman" w:hAnsi="Times New Roman" w:cs="Times New Roman"/>
          <w:b/>
          <w:bCs/>
          <w:color w:val="000000" w:themeColor="text1"/>
          <w:sz w:val="26"/>
          <w:szCs w:val="26"/>
          <w:lang w:val="vi-VN"/>
        </w:rPr>
      </w:pPr>
      <w:r w:rsidRPr="00C86A64">
        <w:rPr>
          <w:rFonts w:ascii="Times New Roman" w:eastAsia="Times New Roman" w:hAnsi="Times New Roman" w:cs="Times New Roman"/>
          <w:b/>
          <w:bCs/>
          <w:color w:val="000000" w:themeColor="text1"/>
          <w:sz w:val="26"/>
          <w:szCs w:val="26"/>
          <w:lang w:val="vi-VN"/>
        </w:rPr>
        <w:t>1. Các khoản thu nhập chịu thuế TNDN 2025</w:t>
      </w:r>
    </w:p>
    <w:p w14:paraId="6F64C6B0" w14:textId="77777777" w:rsidR="00C86A64" w:rsidRPr="00C86A64" w:rsidRDefault="00C86A64" w:rsidP="00C86A64">
      <w:pPr>
        <w:spacing w:line="360" w:lineRule="auto"/>
        <w:jc w:val="both"/>
        <w:rPr>
          <w:rFonts w:ascii="Times New Roman" w:eastAsia="Times New Roman" w:hAnsi="Times New Roman" w:cs="Times New Roman"/>
          <w:color w:val="000000" w:themeColor="text1"/>
          <w:sz w:val="26"/>
          <w:szCs w:val="26"/>
        </w:rPr>
      </w:pPr>
      <w:r w:rsidRPr="00C86A64">
        <w:rPr>
          <w:rFonts w:ascii="Times New Roman" w:eastAsia="Times New Roman" w:hAnsi="Times New Roman" w:cs="Times New Roman"/>
          <w:color w:val="000000" w:themeColor="text1"/>
          <w:sz w:val="26"/>
          <w:szCs w:val="26"/>
        </w:rPr>
        <w:t>Căn cứ theo quy định tại khoản 1 khoản 2 Điều 3 </w:t>
      </w:r>
      <w:hyperlink r:id="rId5" w:tgtFrame="_blank" w:history="1">
        <w:r w:rsidRPr="00C86A64">
          <w:rPr>
            <w:rFonts w:ascii="Times New Roman" w:eastAsia="Times New Roman" w:hAnsi="Times New Roman" w:cs="Times New Roman"/>
            <w:color w:val="000000" w:themeColor="text1"/>
            <w:sz w:val="26"/>
            <w:szCs w:val="26"/>
          </w:rPr>
          <w:t>Luật Thuế thu nhập doanh nghiệp 2025</w:t>
        </w:r>
      </w:hyperlink>
      <w:r w:rsidRPr="00C86A64">
        <w:rPr>
          <w:rFonts w:ascii="Times New Roman" w:eastAsia="Times New Roman" w:hAnsi="Times New Roman" w:cs="Times New Roman"/>
          <w:color w:val="000000" w:themeColor="text1"/>
          <w:sz w:val="26"/>
          <w:szCs w:val="26"/>
        </w:rPr>
        <w:t> thì những khoản thu nhập chịu thuế TNDN gồm:</w:t>
      </w:r>
    </w:p>
    <w:p w14:paraId="082749B9" w14:textId="77777777" w:rsidR="00C86A64" w:rsidRPr="00C86A64" w:rsidRDefault="00C86A64" w:rsidP="00C86A64">
      <w:pPr>
        <w:spacing w:line="360" w:lineRule="auto"/>
        <w:jc w:val="both"/>
        <w:rPr>
          <w:rFonts w:ascii="Times New Roman" w:eastAsia="Times New Roman" w:hAnsi="Times New Roman" w:cs="Times New Roman"/>
          <w:color w:val="000000" w:themeColor="text1"/>
          <w:sz w:val="26"/>
          <w:szCs w:val="26"/>
        </w:rPr>
      </w:pPr>
      <w:r w:rsidRPr="00C86A64">
        <w:rPr>
          <w:rFonts w:ascii="Times New Roman" w:eastAsia="Times New Roman" w:hAnsi="Times New Roman" w:cs="Times New Roman"/>
          <w:color w:val="000000" w:themeColor="text1"/>
          <w:sz w:val="26"/>
          <w:szCs w:val="26"/>
        </w:rPr>
        <w:t>(1) Thu nhập từ hoạt động sản xuất, kinh doanh hàng hóa, dịch vụ của doanh nghiệp.</w:t>
      </w:r>
    </w:p>
    <w:p w14:paraId="6643F461" w14:textId="77777777" w:rsidR="00C86A64" w:rsidRPr="00C86A64" w:rsidRDefault="00C86A64" w:rsidP="00C86A64">
      <w:pPr>
        <w:spacing w:line="360" w:lineRule="auto"/>
        <w:jc w:val="both"/>
        <w:rPr>
          <w:rFonts w:ascii="Times New Roman" w:eastAsia="Times New Roman" w:hAnsi="Times New Roman" w:cs="Times New Roman"/>
          <w:color w:val="000000" w:themeColor="text1"/>
          <w:sz w:val="26"/>
          <w:szCs w:val="26"/>
        </w:rPr>
      </w:pPr>
      <w:r w:rsidRPr="00C86A64">
        <w:rPr>
          <w:rFonts w:ascii="Times New Roman" w:eastAsia="Times New Roman" w:hAnsi="Times New Roman" w:cs="Times New Roman"/>
          <w:color w:val="000000" w:themeColor="text1"/>
          <w:sz w:val="26"/>
          <w:szCs w:val="26"/>
        </w:rPr>
        <w:t>(2) Các khoản thu nhập khác bao gồm:</w:t>
      </w:r>
    </w:p>
    <w:p w14:paraId="58031397" w14:textId="77777777" w:rsidR="00C86A64" w:rsidRPr="00C86A64" w:rsidRDefault="00C86A64" w:rsidP="00C86A64">
      <w:pPr>
        <w:spacing w:line="360" w:lineRule="auto"/>
        <w:jc w:val="both"/>
        <w:rPr>
          <w:rFonts w:ascii="Times New Roman" w:eastAsia="Times New Roman" w:hAnsi="Times New Roman" w:cs="Times New Roman"/>
          <w:color w:val="000000" w:themeColor="text1"/>
          <w:sz w:val="26"/>
          <w:szCs w:val="26"/>
        </w:rPr>
      </w:pPr>
      <w:r w:rsidRPr="00C86A64">
        <w:rPr>
          <w:rFonts w:ascii="Times New Roman" w:eastAsia="Times New Roman" w:hAnsi="Times New Roman" w:cs="Times New Roman"/>
          <w:color w:val="000000" w:themeColor="text1"/>
          <w:sz w:val="26"/>
          <w:szCs w:val="26"/>
        </w:rPr>
        <w:t>- Thu nhập từ chuyển nhượng vốn, chuyển nhượng quyền góp vốn, chuyển nhượng chứng khoán;</w:t>
      </w:r>
    </w:p>
    <w:p w14:paraId="09136658" w14:textId="77777777" w:rsidR="00C86A64" w:rsidRPr="00C86A64" w:rsidRDefault="00C86A64" w:rsidP="00C86A64">
      <w:pPr>
        <w:spacing w:line="360" w:lineRule="auto"/>
        <w:jc w:val="both"/>
        <w:rPr>
          <w:rFonts w:ascii="Times New Roman" w:eastAsia="Times New Roman" w:hAnsi="Times New Roman" w:cs="Times New Roman"/>
          <w:color w:val="000000" w:themeColor="text1"/>
          <w:sz w:val="26"/>
          <w:szCs w:val="26"/>
        </w:rPr>
      </w:pPr>
      <w:r w:rsidRPr="00C86A64">
        <w:rPr>
          <w:rFonts w:ascii="Times New Roman" w:eastAsia="Times New Roman" w:hAnsi="Times New Roman" w:cs="Times New Roman"/>
          <w:color w:val="000000" w:themeColor="text1"/>
          <w:sz w:val="26"/>
          <w:szCs w:val="26"/>
        </w:rPr>
        <w:t>- Thu nhập từ chuyển nhượng bất động sản, trừ thu nhập từ chuyển nhượng bất động sản của doanh nghiệp kinh doanh bất động sản;</w:t>
      </w:r>
    </w:p>
    <w:p w14:paraId="4849F351" w14:textId="77777777" w:rsidR="00C86A64" w:rsidRPr="00C86A64" w:rsidRDefault="00C86A64" w:rsidP="00C86A64">
      <w:pPr>
        <w:spacing w:line="360" w:lineRule="auto"/>
        <w:jc w:val="both"/>
        <w:rPr>
          <w:rFonts w:ascii="Times New Roman" w:eastAsia="Times New Roman" w:hAnsi="Times New Roman" w:cs="Times New Roman"/>
          <w:color w:val="000000" w:themeColor="text1"/>
          <w:sz w:val="26"/>
          <w:szCs w:val="26"/>
        </w:rPr>
      </w:pPr>
      <w:r w:rsidRPr="00C86A64">
        <w:rPr>
          <w:rFonts w:ascii="Times New Roman" w:eastAsia="Times New Roman" w:hAnsi="Times New Roman" w:cs="Times New Roman"/>
          <w:color w:val="000000" w:themeColor="text1"/>
          <w:sz w:val="26"/>
          <w:szCs w:val="26"/>
        </w:rPr>
        <w:t>- Thu nhập từ chuyển nhượng dự án đầu tư, chuyển nhượng quyền tham gia dự án đầu tư, chuyển nhượng quyền thăm dò, khai thác, chế biến khoáng sản;</w:t>
      </w:r>
    </w:p>
    <w:p w14:paraId="580850DA" w14:textId="77777777" w:rsidR="00C86A64" w:rsidRPr="00C86A64" w:rsidRDefault="00C86A64" w:rsidP="00C86A64">
      <w:pPr>
        <w:spacing w:line="360" w:lineRule="auto"/>
        <w:jc w:val="both"/>
        <w:rPr>
          <w:rFonts w:ascii="Times New Roman" w:eastAsia="Times New Roman" w:hAnsi="Times New Roman" w:cs="Times New Roman"/>
          <w:color w:val="000000" w:themeColor="text1"/>
          <w:sz w:val="26"/>
          <w:szCs w:val="26"/>
        </w:rPr>
      </w:pPr>
      <w:r w:rsidRPr="00C86A64">
        <w:rPr>
          <w:rFonts w:ascii="Times New Roman" w:eastAsia="Times New Roman" w:hAnsi="Times New Roman" w:cs="Times New Roman"/>
          <w:color w:val="000000" w:themeColor="text1"/>
          <w:sz w:val="26"/>
          <w:szCs w:val="26"/>
        </w:rPr>
        <w:t>- Thu nhập từ chuyển nhượng, cho thuê, thanh lý tài sản, trong đó có các loại giấy tờ có giá, trừ bất động sản;</w:t>
      </w:r>
    </w:p>
    <w:p w14:paraId="5212A0A6" w14:textId="77777777" w:rsidR="00C86A64" w:rsidRPr="00C86A64" w:rsidRDefault="00C86A64" w:rsidP="00C86A64">
      <w:pPr>
        <w:spacing w:line="360" w:lineRule="auto"/>
        <w:jc w:val="both"/>
        <w:rPr>
          <w:rFonts w:ascii="Times New Roman" w:eastAsia="Times New Roman" w:hAnsi="Times New Roman" w:cs="Times New Roman"/>
          <w:color w:val="000000" w:themeColor="text1"/>
          <w:sz w:val="26"/>
          <w:szCs w:val="26"/>
        </w:rPr>
      </w:pPr>
      <w:r w:rsidRPr="00C86A64">
        <w:rPr>
          <w:rFonts w:ascii="Times New Roman" w:eastAsia="Times New Roman" w:hAnsi="Times New Roman" w:cs="Times New Roman"/>
          <w:color w:val="000000" w:themeColor="text1"/>
          <w:sz w:val="26"/>
          <w:szCs w:val="26"/>
        </w:rPr>
        <w:t>- Thu nhập từ quyền sử dụng, quyền sở hữu tài sản, bao gồm cả thu nhập từ quyền sở hữu trí tuệ, chuyển giao công nghệ;</w:t>
      </w:r>
    </w:p>
    <w:p w14:paraId="2FA9D7E6" w14:textId="77777777" w:rsidR="00C86A64" w:rsidRPr="00C86A64" w:rsidRDefault="00C86A64" w:rsidP="00C86A64">
      <w:pPr>
        <w:spacing w:line="360" w:lineRule="auto"/>
        <w:jc w:val="both"/>
        <w:rPr>
          <w:rFonts w:ascii="Times New Roman" w:eastAsia="Times New Roman" w:hAnsi="Times New Roman" w:cs="Times New Roman"/>
          <w:color w:val="000000" w:themeColor="text1"/>
          <w:sz w:val="26"/>
          <w:szCs w:val="26"/>
        </w:rPr>
      </w:pPr>
      <w:r w:rsidRPr="00C86A64">
        <w:rPr>
          <w:rFonts w:ascii="Times New Roman" w:eastAsia="Times New Roman" w:hAnsi="Times New Roman" w:cs="Times New Roman"/>
          <w:color w:val="000000" w:themeColor="text1"/>
          <w:sz w:val="26"/>
          <w:szCs w:val="26"/>
        </w:rPr>
        <w:t>- Thu nhập từ lãi tiền gửi, lãi cho vay vốn, bán ngoại tệ, trừ thu nhập từ hoạt động tín dụng của tổ chức tín dụng;</w:t>
      </w:r>
    </w:p>
    <w:p w14:paraId="21CC52FF" w14:textId="77777777" w:rsidR="00C86A64" w:rsidRPr="00C86A64" w:rsidRDefault="00C86A64" w:rsidP="00C86A64">
      <w:pPr>
        <w:spacing w:line="360" w:lineRule="auto"/>
        <w:jc w:val="both"/>
        <w:rPr>
          <w:rFonts w:ascii="Times New Roman" w:eastAsia="Times New Roman" w:hAnsi="Times New Roman" w:cs="Times New Roman"/>
          <w:color w:val="000000" w:themeColor="text1"/>
          <w:sz w:val="26"/>
          <w:szCs w:val="26"/>
        </w:rPr>
      </w:pPr>
      <w:r w:rsidRPr="00C86A64">
        <w:rPr>
          <w:rFonts w:ascii="Times New Roman" w:eastAsia="Times New Roman" w:hAnsi="Times New Roman" w:cs="Times New Roman"/>
          <w:color w:val="000000" w:themeColor="text1"/>
          <w:sz w:val="26"/>
          <w:szCs w:val="26"/>
        </w:rPr>
        <w:t>- Khoản trích trước vào chi phí nhưng không sử dụng hoặc sử dụng không hết mà doanh nghiệp không hạch toán điều chỉnh giảm chi phí được trừ; khoản nợ khó đòi đã xóa nay đòi được; khoản nợ phải trả không xác định được chủ nợ; khoản thu nhập từ kinh doanh của những năm trước bị bỏ sót nay phát hiện ra;</w:t>
      </w:r>
    </w:p>
    <w:p w14:paraId="3698BC35" w14:textId="77777777" w:rsidR="00C86A64" w:rsidRPr="00C86A64" w:rsidRDefault="00C86A64" w:rsidP="00C86A64">
      <w:pPr>
        <w:spacing w:line="360" w:lineRule="auto"/>
        <w:jc w:val="both"/>
        <w:rPr>
          <w:rFonts w:ascii="Times New Roman" w:eastAsia="Times New Roman" w:hAnsi="Times New Roman" w:cs="Times New Roman"/>
          <w:color w:val="000000" w:themeColor="text1"/>
          <w:sz w:val="26"/>
          <w:szCs w:val="26"/>
        </w:rPr>
      </w:pPr>
      <w:r w:rsidRPr="00C86A64">
        <w:rPr>
          <w:rFonts w:ascii="Times New Roman" w:eastAsia="Times New Roman" w:hAnsi="Times New Roman" w:cs="Times New Roman"/>
          <w:color w:val="000000" w:themeColor="text1"/>
          <w:sz w:val="26"/>
          <w:szCs w:val="26"/>
        </w:rPr>
        <w:t>- Chênh lệch giữa thu về tiền phạt, tiền bồi thường do vi phạm hợp đồng kinh tế hoặc thưởng do thực hiện tốt cam kết theo hợp đồng;</w:t>
      </w:r>
    </w:p>
    <w:p w14:paraId="1C79003E" w14:textId="77777777" w:rsidR="00C86A64" w:rsidRPr="00C86A64" w:rsidRDefault="00C86A64" w:rsidP="00C86A64">
      <w:pPr>
        <w:spacing w:line="360" w:lineRule="auto"/>
        <w:jc w:val="both"/>
        <w:rPr>
          <w:rFonts w:ascii="Times New Roman" w:eastAsia="Times New Roman" w:hAnsi="Times New Roman" w:cs="Times New Roman"/>
          <w:color w:val="000000" w:themeColor="text1"/>
          <w:sz w:val="26"/>
          <w:szCs w:val="26"/>
        </w:rPr>
      </w:pPr>
      <w:r w:rsidRPr="00C86A64">
        <w:rPr>
          <w:rFonts w:ascii="Times New Roman" w:eastAsia="Times New Roman" w:hAnsi="Times New Roman" w:cs="Times New Roman"/>
          <w:color w:val="000000" w:themeColor="text1"/>
          <w:sz w:val="26"/>
          <w:szCs w:val="26"/>
        </w:rPr>
        <w:t>- Các khoản tài trợ, tặng cho bằng tiền hoặc hiện vật nhận được;</w:t>
      </w:r>
    </w:p>
    <w:p w14:paraId="690B0CD5" w14:textId="77777777" w:rsidR="00C86A64" w:rsidRPr="00C86A64" w:rsidRDefault="00C86A64" w:rsidP="00C86A64">
      <w:pPr>
        <w:spacing w:line="360" w:lineRule="auto"/>
        <w:jc w:val="both"/>
        <w:rPr>
          <w:rFonts w:ascii="Times New Roman" w:eastAsia="Times New Roman" w:hAnsi="Times New Roman" w:cs="Times New Roman"/>
          <w:color w:val="000000" w:themeColor="text1"/>
          <w:sz w:val="26"/>
          <w:szCs w:val="26"/>
        </w:rPr>
      </w:pPr>
      <w:r w:rsidRPr="00C86A64">
        <w:rPr>
          <w:rFonts w:ascii="Times New Roman" w:eastAsia="Times New Roman" w:hAnsi="Times New Roman" w:cs="Times New Roman"/>
          <w:color w:val="000000" w:themeColor="text1"/>
          <w:sz w:val="26"/>
          <w:szCs w:val="26"/>
        </w:rPr>
        <w:lastRenderedPageBreak/>
        <w:t>- Chênh lệch do đánh giá lại tài sản theo quy định của pháp luật để góp vốn, điều chuyển khi sáp nhập, hợp nhất, chia, tách, chuyển đổi chủ sở hữu, chuyển đổi loại hình doanh nghiệp;</w:t>
      </w:r>
    </w:p>
    <w:p w14:paraId="67F83E10" w14:textId="77777777" w:rsidR="00C86A64" w:rsidRPr="00C86A64" w:rsidRDefault="00C86A64" w:rsidP="00C86A64">
      <w:pPr>
        <w:spacing w:line="360" w:lineRule="auto"/>
        <w:jc w:val="both"/>
        <w:rPr>
          <w:rFonts w:ascii="Times New Roman" w:eastAsia="Times New Roman" w:hAnsi="Times New Roman" w:cs="Times New Roman"/>
          <w:color w:val="000000" w:themeColor="text1"/>
          <w:sz w:val="26"/>
          <w:szCs w:val="26"/>
        </w:rPr>
      </w:pPr>
      <w:r w:rsidRPr="00C86A64">
        <w:rPr>
          <w:rFonts w:ascii="Times New Roman" w:eastAsia="Times New Roman" w:hAnsi="Times New Roman" w:cs="Times New Roman"/>
          <w:color w:val="000000" w:themeColor="text1"/>
          <w:sz w:val="26"/>
          <w:szCs w:val="26"/>
        </w:rPr>
        <w:t>- Thu nhập từ hợp đồng hợp tác kinh doanh;</w:t>
      </w:r>
    </w:p>
    <w:p w14:paraId="3971E13A" w14:textId="77777777" w:rsidR="00C86A64" w:rsidRPr="00C86A64" w:rsidRDefault="00C86A64" w:rsidP="00C86A64">
      <w:pPr>
        <w:spacing w:line="360" w:lineRule="auto"/>
        <w:jc w:val="both"/>
        <w:rPr>
          <w:rFonts w:ascii="Times New Roman" w:eastAsia="Times New Roman" w:hAnsi="Times New Roman" w:cs="Times New Roman"/>
          <w:color w:val="000000" w:themeColor="text1"/>
          <w:sz w:val="26"/>
          <w:szCs w:val="26"/>
        </w:rPr>
      </w:pPr>
      <w:r w:rsidRPr="00C86A64">
        <w:rPr>
          <w:rFonts w:ascii="Times New Roman" w:eastAsia="Times New Roman" w:hAnsi="Times New Roman" w:cs="Times New Roman"/>
          <w:color w:val="000000" w:themeColor="text1"/>
          <w:sz w:val="26"/>
          <w:szCs w:val="26"/>
        </w:rPr>
        <w:t>- Thu nhập từ hoạt động sản xuất, kinh doanh ở nước ngoài;</w:t>
      </w:r>
    </w:p>
    <w:p w14:paraId="60DA39BF" w14:textId="77777777" w:rsidR="00C86A64" w:rsidRPr="00C86A64" w:rsidRDefault="00C86A64" w:rsidP="00C86A64">
      <w:pPr>
        <w:spacing w:line="360" w:lineRule="auto"/>
        <w:jc w:val="both"/>
        <w:rPr>
          <w:rFonts w:ascii="Times New Roman" w:eastAsia="Times New Roman" w:hAnsi="Times New Roman" w:cs="Times New Roman"/>
          <w:color w:val="000000" w:themeColor="text1"/>
          <w:sz w:val="26"/>
          <w:szCs w:val="26"/>
        </w:rPr>
      </w:pPr>
      <w:r w:rsidRPr="00C86A64">
        <w:rPr>
          <w:rFonts w:ascii="Times New Roman" w:eastAsia="Times New Roman" w:hAnsi="Times New Roman" w:cs="Times New Roman"/>
          <w:color w:val="000000" w:themeColor="text1"/>
          <w:sz w:val="26"/>
          <w:szCs w:val="26"/>
        </w:rPr>
        <w:t>- Thu nhập của đơn vị sự nghiệp công lập đối với các hoạt động cho thuê tài sản công;</w:t>
      </w:r>
    </w:p>
    <w:p w14:paraId="2EE63FC3" w14:textId="3B3B78FC" w:rsidR="00C86A64" w:rsidRPr="00C86A64" w:rsidRDefault="00C86A64" w:rsidP="00C86A64">
      <w:pPr>
        <w:spacing w:line="360" w:lineRule="auto"/>
        <w:jc w:val="both"/>
        <w:rPr>
          <w:rFonts w:ascii="Times New Roman" w:eastAsia="Times New Roman" w:hAnsi="Times New Roman" w:cs="Times New Roman"/>
          <w:color w:val="000000" w:themeColor="text1"/>
          <w:sz w:val="26"/>
          <w:szCs w:val="26"/>
          <w:lang w:val="vi-VN"/>
        </w:rPr>
      </w:pPr>
      <w:r w:rsidRPr="00C86A64">
        <w:rPr>
          <w:rFonts w:ascii="Times New Roman" w:eastAsia="Times New Roman" w:hAnsi="Times New Roman" w:cs="Times New Roman"/>
          <w:color w:val="000000" w:themeColor="text1"/>
          <w:sz w:val="26"/>
          <w:szCs w:val="26"/>
        </w:rPr>
        <w:t>- Các khoản thu nhập khác, trừ các khoản thu nhập được miễn thuế quy định tại Điều 4</w:t>
      </w:r>
      <w:r w:rsidRPr="00C86A64">
        <w:rPr>
          <w:rFonts w:ascii="Times New Roman" w:eastAsia="Times New Roman" w:hAnsi="Times New Roman" w:cs="Times New Roman"/>
          <w:color w:val="000000" w:themeColor="text1"/>
          <w:sz w:val="26"/>
          <w:szCs w:val="26"/>
          <w:lang w:val="vi-VN"/>
        </w:rPr>
        <w:t xml:space="preserve"> luật thuế TNDN 2025</w:t>
      </w:r>
    </w:p>
    <w:p w14:paraId="5228DA7B" w14:textId="1EA347AB" w:rsidR="00C86A64" w:rsidRPr="00C86A64" w:rsidRDefault="00C86A64" w:rsidP="00C86A64">
      <w:pPr>
        <w:spacing w:line="360" w:lineRule="auto"/>
        <w:jc w:val="both"/>
        <w:outlineLvl w:val="1"/>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b/>
          <w:bCs/>
          <w:color w:val="000000" w:themeColor="text1"/>
          <w:sz w:val="26"/>
          <w:szCs w:val="26"/>
          <w:lang w:val="vi-VN"/>
        </w:rPr>
        <w:t xml:space="preserve">2. </w:t>
      </w:r>
      <w:r w:rsidRPr="00C86A64">
        <w:rPr>
          <w:rFonts w:ascii="Times New Roman" w:eastAsia="Times New Roman" w:hAnsi="Times New Roman" w:cs="Times New Roman"/>
          <w:b/>
          <w:bCs/>
          <w:color w:val="000000" w:themeColor="text1"/>
          <w:sz w:val="26"/>
          <w:szCs w:val="26"/>
        </w:rPr>
        <w:t xml:space="preserve">Các mức thuế suất thuế TNDN </w:t>
      </w:r>
      <w:r>
        <w:rPr>
          <w:rFonts w:ascii="Times New Roman" w:eastAsia="Times New Roman" w:hAnsi="Times New Roman" w:cs="Times New Roman"/>
          <w:b/>
          <w:bCs/>
          <w:color w:val="000000" w:themeColor="text1"/>
          <w:sz w:val="26"/>
          <w:szCs w:val="26"/>
        </w:rPr>
        <w:t>hiện</w:t>
      </w:r>
      <w:r>
        <w:rPr>
          <w:rFonts w:ascii="Times New Roman" w:eastAsia="Times New Roman" w:hAnsi="Times New Roman" w:cs="Times New Roman"/>
          <w:b/>
          <w:bCs/>
          <w:color w:val="000000" w:themeColor="text1"/>
          <w:sz w:val="26"/>
          <w:szCs w:val="26"/>
          <w:lang w:val="vi-VN"/>
        </w:rPr>
        <w:t xml:space="preserve"> nay</w:t>
      </w:r>
    </w:p>
    <w:p w14:paraId="045274D5" w14:textId="6B51F296" w:rsidR="00C86A64" w:rsidRPr="00C86A64" w:rsidRDefault="00C86A64" w:rsidP="00C86A64">
      <w:pPr>
        <w:spacing w:line="360" w:lineRule="auto"/>
        <w:jc w:val="both"/>
        <w:rPr>
          <w:rFonts w:ascii="Times New Roman" w:eastAsia="Times New Roman" w:hAnsi="Times New Roman" w:cs="Times New Roman"/>
          <w:color w:val="000000" w:themeColor="text1"/>
          <w:sz w:val="26"/>
          <w:szCs w:val="26"/>
        </w:rPr>
      </w:pPr>
      <w:r w:rsidRPr="00C86A64">
        <w:rPr>
          <w:rFonts w:ascii="Times New Roman" w:eastAsia="Times New Roman" w:hAnsi="Times New Roman" w:cs="Times New Roman"/>
          <w:color w:val="000000" w:themeColor="text1"/>
          <w:sz w:val="26"/>
          <w:szCs w:val="26"/>
        </w:rPr>
        <w:t>Theo quy định tại Điều 10</w:t>
      </w:r>
      <w:r w:rsidRPr="00C86A64">
        <w:rPr>
          <w:rFonts w:ascii="Times New Roman" w:eastAsia="Times New Roman" w:hAnsi="Times New Roman" w:cs="Times New Roman"/>
          <w:color w:val="000000" w:themeColor="text1"/>
          <w:sz w:val="26"/>
          <w:szCs w:val="26"/>
          <w:lang w:val="vi-VN"/>
        </w:rPr>
        <w:t xml:space="preserve"> </w:t>
      </w:r>
      <w:r w:rsidRPr="00C86A64">
        <w:rPr>
          <w:rFonts w:ascii="Times New Roman" w:eastAsia="Times New Roman" w:hAnsi="Times New Roman" w:cs="Times New Roman"/>
          <w:color w:val="000000" w:themeColor="text1"/>
          <w:sz w:val="26"/>
          <w:szCs w:val="26"/>
          <w:lang w:val="vi-VN"/>
        </w:rPr>
        <w:t>luật thuế TNDN 2025</w:t>
      </w:r>
      <w:r w:rsidRPr="00C86A64">
        <w:rPr>
          <w:rFonts w:ascii="Times New Roman" w:eastAsia="Times New Roman" w:hAnsi="Times New Roman" w:cs="Times New Roman"/>
          <w:color w:val="000000" w:themeColor="text1"/>
          <w:sz w:val="26"/>
          <w:szCs w:val="26"/>
          <w:lang w:val="vi-VN"/>
        </w:rPr>
        <w:t xml:space="preserve"> </w:t>
      </w:r>
      <w:r w:rsidRPr="00C86A64">
        <w:rPr>
          <w:rFonts w:ascii="Times New Roman" w:eastAsia="Times New Roman" w:hAnsi="Times New Roman" w:cs="Times New Roman"/>
          <w:color w:val="000000" w:themeColor="text1"/>
          <w:sz w:val="26"/>
          <w:szCs w:val="26"/>
        </w:rPr>
        <w:t>quy định về thuế suất thuế TNDN như sau:</w:t>
      </w:r>
    </w:p>
    <w:p w14:paraId="6A1E3E64" w14:textId="70ACD85F" w:rsidR="00C86A64" w:rsidRPr="00C86A64" w:rsidRDefault="00C86A64" w:rsidP="00C86A64">
      <w:pPr>
        <w:spacing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i/>
          <w:iCs/>
          <w:color w:val="000000" w:themeColor="text1"/>
          <w:sz w:val="26"/>
          <w:szCs w:val="26"/>
          <w:lang w:val="vi-VN"/>
        </w:rPr>
        <w:t xml:space="preserve">- </w:t>
      </w:r>
      <w:r w:rsidRPr="00C86A64">
        <w:rPr>
          <w:rFonts w:ascii="Times New Roman" w:eastAsia="Times New Roman" w:hAnsi="Times New Roman" w:cs="Times New Roman"/>
          <w:i/>
          <w:iCs/>
          <w:color w:val="000000" w:themeColor="text1"/>
          <w:sz w:val="26"/>
          <w:szCs w:val="26"/>
        </w:rPr>
        <w:t xml:space="preserve"> Thuế suất thuế thu nhập doanh nghiệp là 20%, trừ trường hợp quy định tại các khoản 2, 3 và 4 Điều này và đối tượng được ưu đãi về thuế suất quy định tại Điều 13 của Luật này.</w:t>
      </w:r>
    </w:p>
    <w:p w14:paraId="254C80CF" w14:textId="6DC477D0" w:rsidR="00C86A64" w:rsidRPr="00C86A64" w:rsidRDefault="00C86A64" w:rsidP="00C86A64">
      <w:pPr>
        <w:spacing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i/>
          <w:iCs/>
          <w:color w:val="000000" w:themeColor="text1"/>
          <w:sz w:val="26"/>
          <w:szCs w:val="26"/>
          <w:lang w:val="vi-VN"/>
        </w:rPr>
        <w:t xml:space="preserve">- </w:t>
      </w:r>
      <w:r w:rsidRPr="00C86A64">
        <w:rPr>
          <w:rFonts w:ascii="Times New Roman" w:eastAsia="Times New Roman" w:hAnsi="Times New Roman" w:cs="Times New Roman"/>
          <w:i/>
          <w:iCs/>
          <w:color w:val="000000" w:themeColor="text1"/>
          <w:sz w:val="26"/>
          <w:szCs w:val="26"/>
        </w:rPr>
        <w:t xml:space="preserve"> Thuế suất 15% áp dụng đối với doanh nghiệp có tổng doanh thu năm không quá 03 tỷ đồng.</w:t>
      </w:r>
    </w:p>
    <w:p w14:paraId="02F6500E" w14:textId="0D15FA8E" w:rsidR="00C86A64" w:rsidRPr="00C86A64" w:rsidRDefault="00C86A64" w:rsidP="00C86A64">
      <w:pPr>
        <w:spacing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i/>
          <w:iCs/>
          <w:color w:val="000000" w:themeColor="text1"/>
          <w:sz w:val="26"/>
          <w:szCs w:val="26"/>
          <w:lang w:val="vi-VN"/>
        </w:rPr>
        <w:t>-</w:t>
      </w:r>
      <w:r w:rsidRPr="00C86A64">
        <w:rPr>
          <w:rFonts w:ascii="Times New Roman" w:eastAsia="Times New Roman" w:hAnsi="Times New Roman" w:cs="Times New Roman"/>
          <w:i/>
          <w:iCs/>
          <w:color w:val="000000" w:themeColor="text1"/>
          <w:sz w:val="26"/>
          <w:szCs w:val="26"/>
        </w:rPr>
        <w:t xml:space="preserve"> Thuế suất 17% áp dụng đối với doanh nghiệp có tổng doanh thu năm từ trên 03 tỷ đồng đến không quá 50 tỷ đồng.</w:t>
      </w:r>
    </w:p>
    <w:p w14:paraId="3E69EE2C" w14:textId="77777777" w:rsidR="00C86A64" w:rsidRPr="00C86A64" w:rsidRDefault="00C86A64" w:rsidP="00C86A64">
      <w:pPr>
        <w:spacing w:line="360" w:lineRule="auto"/>
        <w:jc w:val="both"/>
        <w:rPr>
          <w:rFonts w:ascii="Times New Roman" w:eastAsia="Times New Roman" w:hAnsi="Times New Roman" w:cs="Times New Roman"/>
          <w:color w:val="000000" w:themeColor="text1"/>
          <w:sz w:val="26"/>
          <w:szCs w:val="26"/>
        </w:rPr>
      </w:pPr>
      <w:r w:rsidRPr="00C86A64">
        <w:rPr>
          <w:rFonts w:ascii="Times New Roman" w:eastAsia="Times New Roman" w:hAnsi="Times New Roman" w:cs="Times New Roman"/>
          <w:i/>
          <w:iCs/>
          <w:color w:val="000000" w:themeColor="text1"/>
          <w:sz w:val="26"/>
          <w:szCs w:val="26"/>
        </w:rPr>
        <w:t>Doanh thu làm căn cứ xác định doanh nghiệp thuộc đối tượng được áp dụng thuế suất 15% và 17% quy định tại khoản 2, khoản 3 Điều này là tổng doanh thu của kỳ tính thuế thu nhập doanh nghiệp trước liền kề. Việc xác định tổng doanh thu làm căn cứ áp dụng thực hiện theo quy định của Chính phủ.</w:t>
      </w:r>
    </w:p>
    <w:p w14:paraId="00E2D399" w14:textId="0A766E37" w:rsidR="00C86A64" w:rsidRPr="00C86A64" w:rsidRDefault="00C86A64" w:rsidP="00C86A64">
      <w:pPr>
        <w:spacing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i/>
          <w:iCs/>
          <w:color w:val="000000" w:themeColor="text1"/>
          <w:sz w:val="26"/>
          <w:szCs w:val="26"/>
          <w:lang w:val="vi-VN"/>
        </w:rPr>
        <w:t>-</w:t>
      </w:r>
      <w:r w:rsidRPr="00C86A64">
        <w:rPr>
          <w:rFonts w:ascii="Times New Roman" w:eastAsia="Times New Roman" w:hAnsi="Times New Roman" w:cs="Times New Roman"/>
          <w:i/>
          <w:iCs/>
          <w:color w:val="000000" w:themeColor="text1"/>
          <w:sz w:val="26"/>
          <w:szCs w:val="26"/>
        </w:rPr>
        <w:t xml:space="preserve"> Thuế suất thuế thu nhập doanh nghiệp đối với một số trường hợp khác được quy định như sau:</w:t>
      </w:r>
    </w:p>
    <w:p w14:paraId="18DC553F" w14:textId="6685199E" w:rsidR="00C86A64" w:rsidRPr="00C86A64" w:rsidRDefault="00C86A64" w:rsidP="00C86A64">
      <w:pPr>
        <w:spacing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i/>
          <w:iCs/>
          <w:color w:val="000000" w:themeColor="text1"/>
          <w:sz w:val="26"/>
          <w:szCs w:val="26"/>
          <w:lang w:val="vi-VN"/>
        </w:rPr>
        <w:t>+</w:t>
      </w:r>
      <w:r w:rsidRPr="00C86A64">
        <w:rPr>
          <w:rFonts w:ascii="Times New Roman" w:eastAsia="Times New Roman" w:hAnsi="Times New Roman" w:cs="Times New Roman"/>
          <w:i/>
          <w:iCs/>
          <w:color w:val="000000" w:themeColor="text1"/>
          <w:sz w:val="26"/>
          <w:szCs w:val="26"/>
        </w:rPr>
        <w:t xml:space="preserve"> Đối với hoạt động tìm kiếm, thăm dò và khai thác dầu khí từ 25% đến 50%. Căn cứ vào vị trí, điều kiện khai thác và trữ lượng mỏ, Thủ tướng Chính phủ quyết định mức thuế suất cụ thể phù hợp với từng hợp đồng dầu khí;</w:t>
      </w:r>
    </w:p>
    <w:p w14:paraId="57BF225C" w14:textId="0E7C408C" w:rsidR="00C86A64" w:rsidRPr="00C86A64" w:rsidRDefault="00C86A64" w:rsidP="00C86A64">
      <w:pPr>
        <w:spacing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i/>
          <w:iCs/>
          <w:color w:val="000000" w:themeColor="text1"/>
          <w:sz w:val="26"/>
          <w:szCs w:val="26"/>
          <w:lang w:val="vi-VN"/>
        </w:rPr>
        <w:t>+</w:t>
      </w:r>
      <w:r w:rsidRPr="00C86A64">
        <w:rPr>
          <w:rFonts w:ascii="Times New Roman" w:eastAsia="Times New Roman" w:hAnsi="Times New Roman" w:cs="Times New Roman"/>
          <w:i/>
          <w:iCs/>
          <w:color w:val="000000" w:themeColor="text1"/>
          <w:sz w:val="26"/>
          <w:szCs w:val="26"/>
        </w:rPr>
        <w:t xml:space="preserve"> Đối với hoạt động thăm dò, khai thác tài nguyên quý hiếm (bao gồm: bạch kim, vàng, bạc, thiếc, wonfram, antimoan, đá quý, đất hiếm và tài nguyên quý hiếm khác theo quy </w:t>
      </w:r>
      <w:r w:rsidRPr="00C86A64">
        <w:rPr>
          <w:rFonts w:ascii="Times New Roman" w:eastAsia="Times New Roman" w:hAnsi="Times New Roman" w:cs="Times New Roman"/>
          <w:i/>
          <w:iCs/>
          <w:color w:val="000000" w:themeColor="text1"/>
          <w:sz w:val="26"/>
          <w:szCs w:val="26"/>
        </w:rPr>
        <w:lastRenderedPageBreak/>
        <w:t>định của pháp luật) là 50%. Trường hợp các mỏ có từ 70% diện tích được giao trở lên ở địa bàn có điều kiện kinh tế - xã hội đặc biệt khó khăn, thuế suất là 40%.</w:t>
      </w:r>
    </w:p>
    <w:p w14:paraId="5A960BE8" w14:textId="1D410FEA" w:rsidR="00C86A64" w:rsidRPr="00C86A64" w:rsidRDefault="00C86A64" w:rsidP="00C86A64">
      <w:pPr>
        <w:spacing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C</w:t>
      </w:r>
      <w:r w:rsidRPr="00C86A64">
        <w:rPr>
          <w:rFonts w:ascii="Times New Roman" w:eastAsia="Times New Roman" w:hAnsi="Times New Roman" w:cs="Times New Roman"/>
          <w:color w:val="000000" w:themeColor="text1"/>
          <w:sz w:val="26"/>
          <w:szCs w:val="26"/>
        </w:rPr>
        <w:t>ác mức thuế suất thuế TNDN được áp dụng cụ thể như sau:</w:t>
      </w:r>
    </w:p>
    <w:p w14:paraId="4953BBC4" w14:textId="77777777" w:rsidR="00C86A64" w:rsidRPr="00C86A64" w:rsidRDefault="00C86A64" w:rsidP="00C86A64">
      <w:pPr>
        <w:spacing w:line="360" w:lineRule="auto"/>
        <w:jc w:val="both"/>
        <w:rPr>
          <w:rFonts w:ascii="Times New Roman" w:eastAsia="Times New Roman" w:hAnsi="Times New Roman" w:cs="Times New Roman"/>
          <w:color w:val="000000" w:themeColor="text1"/>
          <w:sz w:val="26"/>
          <w:szCs w:val="26"/>
        </w:rPr>
      </w:pPr>
      <w:r w:rsidRPr="00C86A64">
        <w:rPr>
          <w:rFonts w:ascii="Times New Roman" w:eastAsia="Times New Roman" w:hAnsi="Times New Roman" w:cs="Times New Roman"/>
          <w:b/>
          <w:bCs/>
          <w:color w:val="000000" w:themeColor="text1"/>
          <w:sz w:val="26"/>
          <w:szCs w:val="26"/>
        </w:rPr>
        <w:t>- Mức thuế suất 20%</w:t>
      </w:r>
      <w:r w:rsidRPr="00C86A64">
        <w:rPr>
          <w:rFonts w:ascii="Times New Roman" w:eastAsia="Times New Roman" w:hAnsi="Times New Roman" w:cs="Times New Roman"/>
          <w:color w:val="000000" w:themeColor="text1"/>
          <w:sz w:val="26"/>
          <w:szCs w:val="26"/>
        </w:rPr>
        <w:t> áp dụng đối với doanh nghiệp trừ doanh nghiệp quy định tại các khoản 2, 3 và 4 Điều 10 Luật Thuế thu nhập doanh nghiệp 2025</w:t>
      </w:r>
    </w:p>
    <w:p w14:paraId="2C572B0A" w14:textId="77777777" w:rsidR="00C86A64" w:rsidRPr="00C86A64" w:rsidRDefault="00C86A64" w:rsidP="00C86A64">
      <w:pPr>
        <w:spacing w:line="360" w:lineRule="auto"/>
        <w:jc w:val="both"/>
        <w:rPr>
          <w:rFonts w:ascii="Times New Roman" w:eastAsia="Times New Roman" w:hAnsi="Times New Roman" w:cs="Times New Roman"/>
          <w:color w:val="000000" w:themeColor="text1"/>
          <w:sz w:val="26"/>
          <w:szCs w:val="26"/>
        </w:rPr>
      </w:pPr>
      <w:r w:rsidRPr="00C86A64">
        <w:rPr>
          <w:rFonts w:ascii="Times New Roman" w:eastAsia="Times New Roman" w:hAnsi="Times New Roman" w:cs="Times New Roman"/>
          <w:b/>
          <w:bCs/>
          <w:color w:val="000000" w:themeColor="text1"/>
          <w:sz w:val="26"/>
          <w:szCs w:val="26"/>
        </w:rPr>
        <w:t>- Mức thuế suất 15%</w:t>
      </w:r>
      <w:r w:rsidRPr="00C86A64">
        <w:rPr>
          <w:rFonts w:ascii="Times New Roman" w:eastAsia="Times New Roman" w:hAnsi="Times New Roman" w:cs="Times New Roman"/>
          <w:color w:val="000000" w:themeColor="text1"/>
          <w:sz w:val="26"/>
          <w:szCs w:val="26"/>
        </w:rPr>
        <w:t> áp dụng đối với doanh nghiệp có tổng doanh thu dưới 3 tỷ đồng</w:t>
      </w:r>
    </w:p>
    <w:p w14:paraId="271AFA7F" w14:textId="77777777" w:rsidR="00C86A64" w:rsidRPr="00C86A64" w:rsidRDefault="00C86A64" w:rsidP="00C86A64">
      <w:pPr>
        <w:spacing w:line="360" w:lineRule="auto"/>
        <w:jc w:val="both"/>
        <w:rPr>
          <w:rFonts w:ascii="Times New Roman" w:eastAsia="Times New Roman" w:hAnsi="Times New Roman" w:cs="Times New Roman"/>
          <w:color w:val="000000" w:themeColor="text1"/>
          <w:sz w:val="26"/>
          <w:szCs w:val="26"/>
        </w:rPr>
      </w:pPr>
      <w:r w:rsidRPr="00C86A64">
        <w:rPr>
          <w:rFonts w:ascii="Times New Roman" w:eastAsia="Times New Roman" w:hAnsi="Times New Roman" w:cs="Times New Roman"/>
          <w:b/>
          <w:bCs/>
          <w:color w:val="000000" w:themeColor="text1"/>
          <w:sz w:val="26"/>
          <w:szCs w:val="26"/>
        </w:rPr>
        <w:t>- Mức thuế suất 17%</w:t>
      </w:r>
      <w:r w:rsidRPr="00C86A64">
        <w:rPr>
          <w:rFonts w:ascii="Times New Roman" w:eastAsia="Times New Roman" w:hAnsi="Times New Roman" w:cs="Times New Roman"/>
          <w:color w:val="000000" w:themeColor="text1"/>
          <w:sz w:val="26"/>
          <w:szCs w:val="26"/>
        </w:rPr>
        <w:t> áp dụng đối với các doanh nghiệp có tổng doanh thu từ 3 tỷ đồng đến 50 tỷ đồng.</w:t>
      </w:r>
    </w:p>
    <w:p w14:paraId="5108A823" w14:textId="77777777" w:rsidR="00C86A64" w:rsidRPr="00C86A64" w:rsidRDefault="00C86A64" w:rsidP="00C86A64">
      <w:pPr>
        <w:spacing w:line="360" w:lineRule="auto"/>
        <w:jc w:val="both"/>
        <w:rPr>
          <w:rFonts w:ascii="Times New Roman" w:eastAsia="Times New Roman" w:hAnsi="Times New Roman" w:cs="Times New Roman"/>
          <w:color w:val="000000" w:themeColor="text1"/>
          <w:sz w:val="26"/>
          <w:szCs w:val="26"/>
        </w:rPr>
      </w:pPr>
      <w:r w:rsidRPr="00C86A64">
        <w:rPr>
          <w:rFonts w:ascii="Times New Roman" w:eastAsia="Times New Roman" w:hAnsi="Times New Roman" w:cs="Times New Roman"/>
          <w:b/>
          <w:bCs/>
          <w:color w:val="000000" w:themeColor="text1"/>
          <w:sz w:val="26"/>
          <w:szCs w:val="26"/>
        </w:rPr>
        <w:t>- Mức thuế suất từ 25% đến 50%</w:t>
      </w:r>
      <w:r w:rsidRPr="00C86A64">
        <w:rPr>
          <w:rFonts w:ascii="Times New Roman" w:eastAsia="Times New Roman" w:hAnsi="Times New Roman" w:cs="Times New Roman"/>
          <w:color w:val="000000" w:themeColor="text1"/>
          <w:sz w:val="26"/>
          <w:szCs w:val="26"/>
        </w:rPr>
        <w:t> đối với hoạt động tìm kiếm, thăm dò và khai thác dầu khí.</w:t>
      </w:r>
    </w:p>
    <w:p w14:paraId="542723ED" w14:textId="77777777" w:rsidR="00C86A64" w:rsidRPr="00C86A64" w:rsidRDefault="00C86A64" w:rsidP="00C86A64">
      <w:pPr>
        <w:spacing w:line="360" w:lineRule="auto"/>
        <w:jc w:val="both"/>
        <w:rPr>
          <w:rFonts w:ascii="Times New Roman" w:eastAsia="Times New Roman" w:hAnsi="Times New Roman" w:cs="Times New Roman"/>
          <w:color w:val="000000" w:themeColor="text1"/>
          <w:sz w:val="26"/>
          <w:szCs w:val="26"/>
        </w:rPr>
      </w:pPr>
      <w:r w:rsidRPr="00C86A64">
        <w:rPr>
          <w:rFonts w:ascii="Times New Roman" w:eastAsia="Times New Roman" w:hAnsi="Times New Roman" w:cs="Times New Roman"/>
          <w:b/>
          <w:bCs/>
          <w:color w:val="000000" w:themeColor="text1"/>
          <w:sz w:val="26"/>
          <w:szCs w:val="26"/>
        </w:rPr>
        <w:t>- Mức thuế suất 50%</w:t>
      </w:r>
      <w:r w:rsidRPr="00C86A64">
        <w:rPr>
          <w:rFonts w:ascii="Times New Roman" w:eastAsia="Times New Roman" w:hAnsi="Times New Roman" w:cs="Times New Roman"/>
          <w:color w:val="000000" w:themeColor="text1"/>
          <w:sz w:val="26"/>
          <w:szCs w:val="26"/>
        </w:rPr>
        <w:t> áp dụng đối với hoạt động thăm dò, khai thác tài nguyên quý hiếm</w:t>
      </w:r>
    </w:p>
    <w:p w14:paraId="7C9A136F" w14:textId="77777777" w:rsidR="00C86A64" w:rsidRPr="00C86A64" w:rsidRDefault="00C86A64" w:rsidP="00C86A64">
      <w:pPr>
        <w:spacing w:line="360" w:lineRule="auto"/>
        <w:jc w:val="both"/>
        <w:rPr>
          <w:rFonts w:ascii="Times New Roman" w:eastAsia="Times New Roman" w:hAnsi="Times New Roman" w:cs="Times New Roman"/>
          <w:color w:val="000000" w:themeColor="text1"/>
          <w:sz w:val="26"/>
          <w:szCs w:val="26"/>
        </w:rPr>
      </w:pPr>
      <w:r w:rsidRPr="00C86A64">
        <w:rPr>
          <w:rFonts w:ascii="Times New Roman" w:eastAsia="Times New Roman" w:hAnsi="Times New Roman" w:cs="Times New Roman"/>
          <w:b/>
          <w:bCs/>
          <w:color w:val="000000" w:themeColor="text1"/>
          <w:sz w:val="26"/>
          <w:szCs w:val="26"/>
        </w:rPr>
        <w:t>- Mức thuế suất 40% </w:t>
      </w:r>
      <w:r w:rsidRPr="00C86A64">
        <w:rPr>
          <w:rFonts w:ascii="Times New Roman" w:eastAsia="Times New Roman" w:hAnsi="Times New Roman" w:cs="Times New Roman"/>
          <w:color w:val="000000" w:themeColor="text1"/>
          <w:sz w:val="26"/>
          <w:szCs w:val="26"/>
        </w:rPr>
        <w:t>áp dụng đối với hoạt động thăm dò, khai thác tài nguyên quý hiếm có các mỏ có 70% diện tích được giao trở lên ở địa bàn có điều kiện kinh tế - xã hội đặc biệt khó khăn.</w:t>
      </w:r>
    </w:p>
    <w:p w14:paraId="5D83177C" w14:textId="77777777" w:rsidR="00C86A64" w:rsidRPr="00C86A64" w:rsidRDefault="00C86A64" w:rsidP="00C86A64">
      <w:pPr>
        <w:spacing w:line="360" w:lineRule="auto"/>
        <w:jc w:val="both"/>
        <w:rPr>
          <w:color w:val="000000" w:themeColor="text1"/>
          <w:sz w:val="26"/>
          <w:szCs w:val="26"/>
        </w:rPr>
      </w:pPr>
    </w:p>
    <w:sectPr w:rsidR="00C86A64" w:rsidRPr="00C86A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C1E21"/>
    <w:multiLevelType w:val="hybridMultilevel"/>
    <w:tmpl w:val="BFC806FA"/>
    <w:lvl w:ilvl="0" w:tplc="16227F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D10AD"/>
    <w:multiLevelType w:val="multilevel"/>
    <w:tmpl w:val="C0C8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476759">
    <w:abstractNumId w:val="1"/>
  </w:num>
  <w:num w:numId="2" w16cid:durableId="1249002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64"/>
    <w:rsid w:val="009B46D8"/>
    <w:rsid w:val="00C86A6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0E38C74"/>
  <w15:chartTrackingRefBased/>
  <w15:docId w15:val="{8D6D21DA-29F3-CE41-82A9-9B8BC130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86A6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A64"/>
    <w:rPr>
      <w:rFonts w:ascii="Times New Roman" w:eastAsia="Times New Roman" w:hAnsi="Times New Roman" w:cs="Times New Roman"/>
      <w:b/>
      <w:bCs/>
      <w:sz w:val="36"/>
      <w:szCs w:val="36"/>
    </w:rPr>
  </w:style>
  <w:style w:type="character" w:styleId="Strong">
    <w:name w:val="Strong"/>
    <w:basedOn w:val="DefaultParagraphFont"/>
    <w:uiPriority w:val="22"/>
    <w:qFormat/>
    <w:rsid w:val="00C86A64"/>
    <w:rPr>
      <w:b/>
      <w:bCs/>
    </w:rPr>
  </w:style>
  <w:style w:type="paragraph" w:styleId="NormalWeb">
    <w:name w:val="Normal (Web)"/>
    <w:basedOn w:val="Normal"/>
    <w:uiPriority w:val="99"/>
    <w:semiHidden/>
    <w:unhideWhenUsed/>
    <w:rsid w:val="00C86A6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C86A64"/>
  </w:style>
  <w:style w:type="character" w:styleId="Hyperlink">
    <w:name w:val="Hyperlink"/>
    <w:basedOn w:val="DefaultParagraphFont"/>
    <w:uiPriority w:val="99"/>
    <w:semiHidden/>
    <w:unhideWhenUsed/>
    <w:rsid w:val="00C86A64"/>
    <w:rPr>
      <w:color w:val="0000FF"/>
      <w:u w:val="single"/>
    </w:rPr>
  </w:style>
  <w:style w:type="character" w:styleId="Emphasis">
    <w:name w:val="Emphasis"/>
    <w:basedOn w:val="DefaultParagraphFont"/>
    <w:uiPriority w:val="20"/>
    <w:qFormat/>
    <w:rsid w:val="00C86A64"/>
    <w:rPr>
      <w:i/>
      <w:iCs/>
    </w:rPr>
  </w:style>
  <w:style w:type="paragraph" w:styleId="ListParagraph">
    <w:name w:val="List Paragraph"/>
    <w:basedOn w:val="Normal"/>
    <w:uiPriority w:val="34"/>
    <w:qFormat/>
    <w:rsid w:val="00C86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388114">
      <w:bodyDiv w:val="1"/>
      <w:marLeft w:val="0"/>
      <w:marRight w:val="0"/>
      <w:marTop w:val="0"/>
      <w:marBottom w:val="0"/>
      <w:divBdr>
        <w:top w:val="none" w:sz="0" w:space="0" w:color="auto"/>
        <w:left w:val="none" w:sz="0" w:space="0" w:color="auto"/>
        <w:bottom w:val="none" w:sz="0" w:space="0" w:color="auto"/>
        <w:right w:val="none" w:sz="0" w:space="0" w:color="auto"/>
      </w:divBdr>
      <w:divsChild>
        <w:div w:id="290866633">
          <w:marLeft w:val="0"/>
          <w:marRight w:val="0"/>
          <w:marTop w:val="0"/>
          <w:marBottom w:val="0"/>
          <w:divBdr>
            <w:top w:val="none" w:sz="0" w:space="0" w:color="auto"/>
            <w:left w:val="none" w:sz="0" w:space="0" w:color="auto"/>
            <w:bottom w:val="none" w:sz="0" w:space="0" w:color="auto"/>
            <w:right w:val="none" w:sz="0" w:space="0" w:color="auto"/>
          </w:divBdr>
          <w:divsChild>
            <w:div w:id="72568434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40143739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9271478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83114045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0413410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45663111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6965351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03056475">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107584494">
          <w:marLeft w:val="0"/>
          <w:marRight w:val="0"/>
          <w:marTop w:val="0"/>
          <w:marBottom w:val="75"/>
          <w:divBdr>
            <w:top w:val="none" w:sz="0" w:space="0" w:color="auto"/>
            <w:left w:val="none" w:sz="0" w:space="0" w:color="auto"/>
            <w:bottom w:val="none" w:sz="0" w:space="0" w:color="auto"/>
            <w:right w:val="none" w:sz="0" w:space="0" w:color="auto"/>
          </w:divBdr>
        </w:div>
        <w:div w:id="2133867081">
          <w:marLeft w:val="0"/>
          <w:marRight w:val="0"/>
          <w:marTop w:val="0"/>
          <w:marBottom w:val="0"/>
          <w:divBdr>
            <w:top w:val="none" w:sz="0" w:space="0" w:color="auto"/>
            <w:left w:val="none" w:sz="0" w:space="0" w:color="auto"/>
            <w:bottom w:val="none" w:sz="0" w:space="0" w:color="auto"/>
            <w:right w:val="none" w:sz="0" w:space="0" w:color="auto"/>
          </w:divBdr>
        </w:div>
        <w:div w:id="1142383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uvienphapluat.vn/van-ban/Doanh-nghiep/Luat-Thue-thu-nhap-doanh-nghiep-2025-so-67-2025-QH15-580594.aspx?anchor=dieu_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2026-01-15T00:38:00Z</dcterms:created>
  <dcterms:modified xsi:type="dcterms:W3CDTF">2026-01-15T00:47:00Z</dcterms:modified>
</cp:coreProperties>
</file>